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EEB6D" w14:textId="77777777" w:rsidR="006C4D85" w:rsidRPr="00EC291D" w:rsidRDefault="006C4D85" w:rsidP="006C4D85">
      <w:pPr>
        <w:pStyle w:val="Heading1"/>
        <w:rPr>
          <w:color w:val="000000"/>
        </w:rPr>
      </w:pPr>
      <w:r>
        <w:fldChar w:fldCharType="begin"/>
      </w:r>
      <w:r>
        <w:instrText xml:space="preserve"> HYPERLINK "https://www.ncbi.nlm.nih.gov/pubmed/31474177" </w:instrText>
      </w:r>
      <w:r>
        <w:fldChar w:fldCharType="separate"/>
      </w:r>
      <w:r w:rsidRPr="000F22B9">
        <w:rPr>
          <w:highlight w:val="yellow"/>
          <w:u w:color="1800C0"/>
        </w:rPr>
        <w:t>Determinants of Left Ventricular Dysfunction and Remodeling in Patients With Corrected Tetralogy of Fallot.</w:t>
      </w:r>
      <w:r>
        <w:rPr>
          <w:highlight w:val="yellow"/>
          <w:u w:color="1800C0"/>
        </w:rPr>
        <w:fldChar w:fldCharType="end"/>
      </w:r>
    </w:p>
    <w:p w14:paraId="060A903D" w14:textId="77777777" w:rsidR="006C4D85" w:rsidRPr="00EC291D" w:rsidRDefault="006C4D85" w:rsidP="006C4D85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 xml:space="preserve">Andrade AC, </w:t>
      </w:r>
      <w:proofErr w:type="spellStart"/>
      <w:r w:rsidRPr="00EC291D">
        <w:rPr>
          <w:rFonts w:cstheme="minorHAnsi"/>
          <w:color w:val="000000"/>
        </w:rPr>
        <w:t>Jerosch</w:t>
      </w:r>
      <w:proofErr w:type="spellEnd"/>
      <w:r w:rsidRPr="00EC291D">
        <w:rPr>
          <w:rFonts w:cstheme="minorHAnsi"/>
          <w:color w:val="000000"/>
        </w:rPr>
        <w:t xml:space="preserve">-Herold M, Wegner P, Gabbert DD, Voges I, Pham M, Shah R, </w:t>
      </w:r>
      <w:proofErr w:type="spellStart"/>
      <w:r w:rsidRPr="00EC291D">
        <w:rPr>
          <w:rFonts w:cstheme="minorHAnsi"/>
          <w:color w:val="000000"/>
        </w:rPr>
        <w:t>Hedderich</w:t>
      </w:r>
      <w:proofErr w:type="spellEnd"/>
      <w:r w:rsidRPr="00EC291D">
        <w:rPr>
          <w:rFonts w:cstheme="minorHAnsi"/>
          <w:color w:val="000000"/>
        </w:rPr>
        <w:t xml:space="preserve"> J, Kramer HH, </w:t>
      </w:r>
      <w:proofErr w:type="spellStart"/>
      <w:r w:rsidRPr="00EC291D">
        <w:rPr>
          <w:rFonts w:cstheme="minorHAnsi"/>
          <w:color w:val="000000"/>
        </w:rPr>
        <w:t>Rickers</w:t>
      </w:r>
      <w:proofErr w:type="spellEnd"/>
      <w:r w:rsidRPr="00EC291D">
        <w:rPr>
          <w:rFonts w:cstheme="minorHAnsi"/>
          <w:color w:val="000000"/>
        </w:rPr>
        <w:t xml:space="preserve"> C.</w:t>
      </w:r>
    </w:p>
    <w:p w14:paraId="5E4C2D41" w14:textId="77777777" w:rsidR="006C4D85" w:rsidRPr="00EC291D" w:rsidRDefault="006C4D85" w:rsidP="006C4D85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>J Am Heart Assoc. 2019 Sep 3;8(17):e009618. doi: 10.1161/JAHA.118.009618. Epub 2019 Aug 31.</w:t>
      </w:r>
    </w:p>
    <w:p w14:paraId="2B710030" w14:textId="77777777" w:rsidR="006C4D85" w:rsidRPr="00EC291D" w:rsidRDefault="006C4D85" w:rsidP="006C4D85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454545"/>
        </w:rPr>
      </w:pPr>
      <w:r w:rsidRPr="00EC291D">
        <w:rPr>
          <w:rFonts w:cstheme="minorHAnsi"/>
          <w:color w:val="454545"/>
        </w:rPr>
        <w:t xml:space="preserve">PMID: 31474177 </w:t>
      </w:r>
      <w:hyperlink r:id="rId5" w:history="1">
        <w:r w:rsidRPr="00EC291D">
          <w:rPr>
            <w:rFonts w:cstheme="minorHAnsi"/>
            <w:color w:val="854428"/>
            <w:u w:val="single" w:color="854428"/>
          </w:rPr>
          <w:t>Free PMC Article</w:t>
        </w:r>
      </w:hyperlink>
    </w:p>
    <w:p w14:paraId="292108A8" w14:textId="77777777" w:rsidR="006C4D85" w:rsidRPr="00EC291D" w:rsidRDefault="00EA15C6" w:rsidP="006C4D85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hyperlink r:id="rId6" w:history="1">
        <w:r w:rsidR="006C4D85" w:rsidRPr="00EC291D">
          <w:rPr>
            <w:rFonts w:cstheme="minorHAnsi"/>
            <w:color w:val="53509A"/>
            <w:u w:val="single" w:color="53509A"/>
          </w:rPr>
          <w:t>Similar articles</w:t>
        </w:r>
      </w:hyperlink>
    </w:p>
    <w:p w14:paraId="7355D8FD" w14:textId="77777777" w:rsidR="006C4D85" w:rsidRPr="00EC291D" w:rsidRDefault="006C4D85" w:rsidP="006C4D85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>Select item 31450994</w:t>
      </w:r>
    </w:p>
    <w:p w14:paraId="3F725872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  <w:color w:val="000000"/>
        </w:rPr>
      </w:pPr>
    </w:p>
    <w:p w14:paraId="20B7F50B" w14:textId="77777777" w:rsidR="006C4D85" w:rsidRPr="00EC291D" w:rsidRDefault="006C4D85" w:rsidP="006C4D85">
      <w:pPr>
        <w:rPr>
          <w:rFonts w:cstheme="minorHAnsi"/>
          <w:b/>
        </w:rPr>
      </w:pPr>
      <w:r w:rsidRPr="00EC291D">
        <w:rPr>
          <w:rFonts w:cstheme="minorHAnsi"/>
          <w:b/>
        </w:rPr>
        <w:t>Take-Home Points:</w:t>
      </w:r>
    </w:p>
    <w:p w14:paraId="4C40627D" w14:textId="77777777" w:rsidR="006C4D85" w:rsidRPr="000F22B9" w:rsidRDefault="006C4D85" w:rsidP="006C4D8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bCs/>
          <w:color w:val="000000"/>
          <w:sz w:val="22"/>
          <w:szCs w:val="22"/>
        </w:rPr>
      </w:pPr>
      <w:r w:rsidRPr="000F22B9">
        <w:rPr>
          <w:rFonts w:cstheme="minorHAnsi"/>
          <w:bCs/>
          <w:color w:val="000000"/>
          <w:sz w:val="22"/>
          <w:szCs w:val="22"/>
        </w:rPr>
        <w:t xml:space="preserve">Both impaired systolic and diastolic dysfunction of the LV, adverse remodeling with ECM expansion, myocardial atrophy and a reduced   mass/volume ratio are seen in asymptomatic (NYHA I) with </w:t>
      </w:r>
      <w:proofErr w:type="spellStart"/>
      <w:r w:rsidRPr="000F22B9">
        <w:rPr>
          <w:rFonts w:cstheme="minorHAnsi"/>
          <w:bCs/>
          <w:color w:val="000000"/>
          <w:sz w:val="22"/>
          <w:szCs w:val="22"/>
        </w:rPr>
        <w:t>rTOF</w:t>
      </w:r>
      <w:proofErr w:type="spellEnd"/>
      <w:r w:rsidRPr="000F22B9">
        <w:rPr>
          <w:rFonts w:cstheme="minorHAnsi"/>
          <w:bCs/>
          <w:color w:val="000000"/>
          <w:sz w:val="22"/>
          <w:szCs w:val="22"/>
        </w:rPr>
        <w:t>.</w:t>
      </w:r>
    </w:p>
    <w:p w14:paraId="5D0F37CA" w14:textId="77777777" w:rsidR="006C4D85" w:rsidRPr="000F22B9" w:rsidRDefault="006C4D85" w:rsidP="006C4D8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bCs/>
          <w:color w:val="000000"/>
          <w:sz w:val="22"/>
          <w:szCs w:val="22"/>
        </w:rPr>
      </w:pPr>
      <w:r w:rsidRPr="000F22B9">
        <w:rPr>
          <w:rFonts w:cstheme="minorHAnsi"/>
          <w:bCs/>
          <w:color w:val="000000"/>
          <w:sz w:val="22"/>
          <w:szCs w:val="22"/>
        </w:rPr>
        <w:t xml:space="preserve">These markers of LV systolic dysfunction are associated with  reduced peak oxygen consumption during CPET and thus a predictor of poorer outcome in </w:t>
      </w:r>
      <w:proofErr w:type="spellStart"/>
      <w:r w:rsidRPr="000F22B9">
        <w:rPr>
          <w:rFonts w:cstheme="minorHAnsi"/>
          <w:bCs/>
          <w:color w:val="000000"/>
          <w:sz w:val="22"/>
          <w:szCs w:val="22"/>
        </w:rPr>
        <w:t>rTOF</w:t>
      </w:r>
      <w:proofErr w:type="spellEnd"/>
      <w:r w:rsidRPr="000F22B9">
        <w:rPr>
          <w:rFonts w:cstheme="minorHAnsi"/>
          <w:bCs/>
          <w:color w:val="000000"/>
          <w:sz w:val="22"/>
          <w:szCs w:val="22"/>
        </w:rPr>
        <w:t xml:space="preserve">.  </w:t>
      </w:r>
    </w:p>
    <w:p w14:paraId="2BDC2D2E" w14:textId="77777777" w:rsidR="006C4D85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8BE0DA9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>
        <w:rPr>
          <w:noProof/>
        </w:rPr>
        <w:drawing>
          <wp:inline distT="0" distB="0" distL="0" distR="0" wp14:anchorId="6AA742FA" wp14:editId="2DC154ED">
            <wp:extent cx="2222500" cy="2540000"/>
            <wp:effectExtent l="0" t="0" r="635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DEF7" w14:textId="77777777" w:rsidR="006C4D85" w:rsidRPr="00EC291D" w:rsidRDefault="006C4D85" w:rsidP="006C4D85">
      <w:pPr>
        <w:rPr>
          <w:rFonts w:cstheme="minorHAnsi"/>
        </w:rPr>
      </w:pPr>
      <w:r w:rsidRPr="00EC291D">
        <w:rPr>
          <w:rStyle w:val="Strong"/>
          <w:rFonts w:cstheme="minorHAnsi"/>
          <w:i/>
          <w:iCs/>
        </w:rPr>
        <w:t xml:space="preserve">Commentary from Dr. Blanche Cupido (Cape Town, South Africa), section editor of ACHD Journal Watch:  </w:t>
      </w:r>
      <w:r w:rsidRPr="00EC291D">
        <w:rPr>
          <w:rFonts w:cstheme="minorHAnsi"/>
        </w:rPr>
        <w:t>In patients with repaired Tetralogy of Fallot (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), pulmonary regurgitation and RV dilatation and function is usually the focus at clinical follow-up. LV dysfunction too has been found to be a predictor of death and sustained ventricular tachycardia in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.  This is a cross-sectional study aiming to assess the prevalence of LV dysfunction in asymptomatic (NYHA I)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 and to identify the associations between right heart markers of pathologic remodeling and LV remodeling. Furthermore, in a subset of patients, cardiopulmonary exercise testing was done and the effect of LV remodeling and dysfunction on age-and sex-adjusted peak exercise parameters were assessed. </w:t>
      </w:r>
    </w:p>
    <w:p w14:paraId="315C8A04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 xml:space="preserve">This was a prospective cross-sectional study at a tertiary center in Sao Paulo, Brazil. One hundred and three consecutive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 and NYHA I were enrolled between January 2012 and August 2016. </w:t>
      </w:r>
      <w:r w:rsidRPr="00EC291D">
        <w:rPr>
          <w:rFonts w:cstheme="minorHAnsi"/>
        </w:rPr>
        <w:lastRenderedPageBreak/>
        <w:t xml:space="preserve">Baseline characteristics are displayed in Table1 below. </w:t>
      </w:r>
    </w:p>
    <w:p w14:paraId="46277EAA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743316F9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ab/>
      </w:r>
      <w:r w:rsidRPr="00EC291D">
        <w:rPr>
          <w:rFonts w:cstheme="minorHAnsi"/>
        </w:rPr>
        <w:tab/>
      </w:r>
      <w:r w:rsidRPr="00EC291D">
        <w:rPr>
          <w:rFonts w:cstheme="minorHAnsi"/>
        </w:rPr>
        <w:tab/>
      </w:r>
      <w:r w:rsidRPr="00EC291D">
        <w:rPr>
          <w:rFonts w:cstheme="minorHAnsi"/>
          <w:noProof/>
        </w:rPr>
        <w:drawing>
          <wp:inline distT="0" distB="0" distL="0" distR="0" wp14:anchorId="6CE3D559" wp14:editId="79DD326D">
            <wp:extent cx="3917950" cy="4296575"/>
            <wp:effectExtent l="0" t="0" r="635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0887" cy="432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38C7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 xml:space="preserve">Of the 103 patients enrolled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, 43 were female. Patients were studied at 15.1±8.7 years after surgical repair. Twenty patients had initial shunt implantations, 49% (n=51) had a transannular patch repair. Furthermore, 24% (n=25) had re-operations for mainly PR.   There were no differences in age, weight, height, BSA and blood pressure between patients and healthy controls. </w:t>
      </w:r>
    </w:p>
    <w:p w14:paraId="4E6020E7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58DB2C5C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6B41BB95" w14:textId="15E4576B" w:rsidR="006C4D85" w:rsidRPr="00EC291D" w:rsidRDefault="006C4D85" w:rsidP="00E94486">
      <w:pPr>
        <w:widowControl w:val="0"/>
        <w:autoSpaceDE w:val="0"/>
        <w:autoSpaceDN w:val="0"/>
        <w:adjustRightInd w:val="0"/>
        <w:jc w:val="center"/>
        <w:rPr>
          <w:rFonts w:cstheme="minorHAnsi"/>
        </w:rPr>
      </w:pPr>
      <w:r w:rsidRPr="00EC291D">
        <w:rPr>
          <w:rFonts w:cstheme="minorHAnsi"/>
          <w:noProof/>
        </w:rPr>
        <w:lastRenderedPageBreak/>
        <w:drawing>
          <wp:inline distT="0" distB="0" distL="0" distR="0" wp14:anchorId="7669A4D4" wp14:editId="5130842F">
            <wp:extent cx="3898900" cy="4332473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3651" cy="440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1C8D" w14:textId="55D346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 xml:space="preserve">Referring to table 2 above, RV mass index, indexed RV end-systolic and end-diastolic volumes as well as RV mass/volume ratios were significantly higher in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 patients compared to healthy controls. In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, LV EF, LV mass index, LV mass/volume ratio and LV/RV mass ratio were markedly reduced compared to healthy controls.  </w:t>
      </w:r>
      <w:proofErr w:type="spellStart"/>
      <w:r w:rsidRPr="00EC291D">
        <w:rPr>
          <w:rFonts w:cstheme="minorHAnsi"/>
        </w:rPr>
        <w:t>LVEDVi</w:t>
      </w:r>
      <w:proofErr w:type="spellEnd"/>
      <w:r w:rsidRPr="00EC291D">
        <w:rPr>
          <w:rFonts w:cstheme="minorHAnsi"/>
        </w:rPr>
        <w:t xml:space="preserve"> however did not differ between subjects and controls but correlated with </w:t>
      </w:r>
      <w:proofErr w:type="spellStart"/>
      <w:r w:rsidRPr="00EC291D">
        <w:rPr>
          <w:rFonts w:cstheme="minorHAnsi"/>
        </w:rPr>
        <w:t>RVEDVi</w:t>
      </w:r>
      <w:proofErr w:type="spellEnd"/>
      <w:r w:rsidRPr="00EC291D">
        <w:rPr>
          <w:rFonts w:cstheme="minorHAnsi"/>
        </w:rPr>
        <w:t xml:space="preserve"> (r=0.36, p&lt;0;.001). LA volumes and function were also decreased compared to controls. </w:t>
      </w:r>
    </w:p>
    <w:p w14:paraId="33594B07" w14:textId="7EC18F58" w:rsidR="006C4D85" w:rsidRPr="00EC291D" w:rsidRDefault="006C4D85" w:rsidP="00AE1D26">
      <w:pPr>
        <w:widowControl w:val="0"/>
        <w:autoSpaceDE w:val="0"/>
        <w:autoSpaceDN w:val="0"/>
        <w:adjustRightInd w:val="0"/>
        <w:jc w:val="center"/>
        <w:rPr>
          <w:rFonts w:cstheme="minorHAnsi"/>
        </w:rPr>
      </w:pPr>
      <w:r w:rsidRPr="00EC291D">
        <w:rPr>
          <w:rFonts w:cstheme="minorHAnsi"/>
          <w:noProof/>
        </w:rPr>
        <w:drawing>
          <wp:inline distT="0" distB="0" distL="0" distR="0" wp14:anchorId="6F49B15E" wp14:editId="672E856D">
            <wp:extent cx="3415715" cy="2444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0785" cy="24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247D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1A473D4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 xml:space="preserve">Table 3 shows, for each LV parameter, the proportion of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 with values falling out of the corresponding age related 95% CI’s. In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, LVEF correlated with RVEF (p=0.41, p&lt;0.001; 95%CI 0.26-0.54) and RV mass/volume ratio (p=0.33, P&lt;0.001). In total, 23% had moderate LVEF impairment (EF 35%-45%) and 41% had mild dysfunction (EF 45-55%), 36% had normal LVEF. </w:t>
      </w:r>
    </w:p>
    <w:p w14:paraId="0CFC4A22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45B4C415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ab/>
      </w:r>
      <w:r w:rsidRPr="00EC291D">
        <w:rPr>
          <w:rFonts w:cstheme="minorHAnsi"/>
        </w:rPr>
        <w:tab/>
      </w:r>
      <w:r w:rsidRPr="00EC291D">
        <w:rPr>
          <w:rFonts w:cstheme="minorHAnsi"/>
        </w:rPr>
        <w:tab/>
      </w:r>
      <w:r w:rsidRPr="00EC291D">
        <w:rPr>
          <w:rFonts w:cstheme="minorHAnsi"/>
          <w:noProof/>
        </w:rPr>
        <w:drawing>
          <wp:inline distT="0" distB="0" distL="0" distR="0" wp14:anchorId="508D67B7" wp14:editId="0B11BB88">
            <wp:extent cx="4756706" cy="3308350"/>
            <wp:effectExtent l="0" t="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028" cy="33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32947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9E365DB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 xml:space="preserve">Figure 2 A above shows that LV systolic dysfunction is associated with remodeling of the RV, as per RV mass-to-volume-ratio. This remained significant in a multivariate module. LV systolic dysfunction is also associated with </w:t>
      </w:r>
      <w:proofErr w:type="spellStart"/>
      <w:r w:rsidRPr="00EC291D">
        <w:rPr>
          <w:rFonts w:cstheme="minorHAnsi"/>
        </w:rPr>
        <w:t>RVESVi</w:t>
      </w:r>
      <w:proofErr w:type="spellEnd"/>
      <w:r w:rsidRPr="00EC291D">
        <w:rPr>
          <w:rFonts w:cstheme="minorHAnsi"/>
        </w:rPr>
        <w:t>.</w:t>
      </w:r>
    </w:p>
    <w:p w14:paraId="1F5C4B16" w14:textId="77777777" w:rsidR="00EA15C6" w:rsidRDefault="00EA15C6">
      <w:pPr>
        <w:rPr>
          <w:rFonts w:cstheme="minorHAnsi"/>
        </w:rPr>
      </w:pPr>
      <w:r>
        <w:rPr>
          <w:rFonts w:cstheme="minorHAnsi"/>
        </w:rPr>
        <w:br w:type="page"/>
      </w:r>
    </w:p>
    <w:p w14:paraId="0E04317D" w14:textId="7A9E20C6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lastRenderedPageBreak/>
        <w:t xml:space="preserve">Figure 4 shows that 28% of all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 xml:space="preserve"> had LV mass / volume ratio below the age-specific 5</w:t>
      </w:r>
      <w:r w:rsidRPr="00EC291D">
        <w:rPr>
          <w:rFonts w:cstheme="minorHAnsi"/>
          <w:vertAlign w:val="superscript"/>
        </w:rPr>
        <w:t>th</w:t>
      </w:r>
      <w:r w:rsidRPr="00EC291D">
        <w:rPr>
          <w:rFonts w:cstheme="minorHAnsi"/>
        </w:rPr>
        <w:t xml:space="preserve"> percentile level in healthy controls.</w:t>
      </w:r>
      <w:r w:rsidRPr="00EC291D">
        <w:rPr>
          <w:rFonts w:cstheme="minorHAnsi"/>
        </w:rPr>
        <w:tab/>
      </w:r>
    </w:p>
    <w:p w14:paraId="51EB2FE6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ab/>
      </w:r>
      <w:r w:rsidRPr="00EC291D">
        <w:rPr>
          <w:rFonts w:cstheme="minorHAnsi"/>
        </w:rPr>
        <w:tab/>
      </w:r>
      <w:r w:rsidRPr="00EC291D">
        <w:rPr>
          <w:rFonts w:cstheme="minorHAnsi"/>
        </w:rPr>
        <w:tab/>
      </w:r>
      <w:bookmarkStart w:id="0" w:name="_GoBack"/>
      <w:r w:rsidRPr="00EC291D">
        <w:rPr>
          <w:rFonts w:cstheme="minorHAnsi"/>
          <w:noProof/>
        </w:rPr>
        <w:drawing>
          <wp:inline distT="0" distB="0" distL="0" distR="0" wp14:anchorId="7137DC8F" wp14:editId="3E8CAC74">
            <wp:extent cx="3371463" cy="28067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8727" cy="28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69959D4" w14:textId="77777777" w:rsidR="006C4D85" w:rsidRPr="00EC291D" w:rsidRDefault="006C4D85" w:rsidP="006C4D85">
      <w:pPr>
        <w:widowControl w:val="0"/>
        <w:autoSpaceDE w:val="0"/>
        <w:autoSpaceDN w:val="0"/>
        <w:adjustRightInd w:val="0"/>
        <w:ind w:left="3600"/>
        <w:rPr>
          <w:rFonts w:cstheme="minorHAnsi"/>
        </w:rPr>
      </w:pPr>
      <w:r w:rsidRPr="00EC291D">
        <w:rPr>
          <w:rFonts w:cstheme="minorHAnsi"/>
        </w:rPr>
        <w:t xml:space="preserve">         Figure 4A </w:t>
      </w:r>
    </w:p>
    <w:p w14:paraId="0417FA9A" w14:textId="77777777" w:rsidR="006C4D85" w:rsidRPr="00EC291D" w:rsidRDefault="006C4D85" w:rsidP="006C4D85">
      <w:pPr>
        <w:widowControl w:val="0"/>
        <w:autoSpaceDE w:val="0"/>
        <w:autoSpaceDN w:val="0"/>
        <w:adjustRightInd w:val="0"/>
        <w:rPr>
          <w:rFonts w:cstheme="minorHAnsi"/>
        </w:rPr>
      </w:pPr>
      <w:r w:rsidRPr="00EC291D">
        <w:rPr>
          <w:rFonts w:cstheme="minorHAnsi"/>
        </w:rPr>
        <w:t xml:space="preserve">Late Gadolinium enhancement (LGE) was performed in 65 of the cohort. In 95% of these patients, the site was the ventricular septum, 46% showed LGE in the RVOT and 13.8% in other areas of the heart but not the free wall. </w:t>
      </w:r>
    </w:p>
    <w:p w14:paraId="26F59E98" w14:textId="77777777" w:rsidR="001B2259" w:rsidRDefault="006C4D85" w:rsidP="006C4D85">
      <w:r w:rsidRPr="00EC291D">
        <w:rPr>
          <w:rFonts w:cstheme="minorHAnsi"/>
        </w:rPr>
        <w:t xml:space="preserve">Cardiopulmonary testing results (CPET) were available in 70 patients with </w:t>
      </w:r>
      <w:proofErr w:type="spellStart"/>
      <w:r w:rsidRPr="00EC291D">
        <w:rPr>
          <w:rFonts w:cstheme="minorHAnsi"/>
        </w:rPr>
        <w:t>rTOF</w:t>
      </w:r>
      <w:proofErr w:type="spellEnd"/>
      <w:r w:rsidRPr="00EC291D">
        <w:rPr>
          <w:rFonts w:cstheme="minorHAnsi"/>
        </w:rPr>
        <w:t>. VO</w:t>
      </w:r>
      <w:r w:rsidRPr="00EC291D">
        <w:rPr>
          <w:rFonts w:cstheme="minorHAnsi"/>
          <w:vertAlign w:val="subscript"/>
        </w:rPr>
        <w:t>2</w:t>
      </w:r>
      <w:r w:rsidRPr="00EC291D">
        <w:rPr>
          <w:rFonts w:cstheme="minorHAnsi"/>
        </w:rPr>
        <w:t>max was less than the 3</w:t>
      </w:r>
      <w:r w:rsidRPr="00EC291D">
        <w:rPr>
          <w:rFonts w:cstheme="minorHAnsi"/>
          <w:vertAlign w:val="superscript"/>
        </w:rPr>
        <w:t>rd</w:t>
      </w:r>
      <w:r w:rsidRPr="00EC291D">
        <w:rPr>
          <w:rFonts w:cstheme="minorHAnsi"/>
        </w:rPr>
        <w:t xml:space="preserve"> centile in 29% of patients.</w:t>
      </w:r>
    </w:p>
    <w:sectPr w:rsidR="001B2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EE44B8"/>
    <w:multiLevelType w:val="hybridMultilevel"/>
    <w:tmpl w:val="348C3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85"/>
    <w:rsid w:val="001B2259"/>
    <w:rsid w:val="005C205F"/>
    <w:rsid w:val="005C51EA"/>
    <w:rsid w:val="006C4D85"/>
    <w:rsid w:val="009F0102"/>
    <w:rsid w:val="00AE1D26"/>
    <w:rsid w:val="00E94486"/>
    <w:rsid w:val="00EA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D5675"/>
  <w15:chartTrackingRefBased/>
  <w15:docId w15:val="{0048B45A-3593-408B-8F64-A0D5862B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D85"/>
  </w:style>
  <w:style w:type="paragraph" w:styleId="Heading1">
    <w:name w:val="heading 1"/>
    <w:basedOn w:val="Normal"/>
    <w:next w:val="Normal"/>
    <w:link w:val="Heading1Char"/>
    <w:uiPriority w:val="9"/>
    <w:qFormat/>
    <w:rsid w:val="006C4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D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C4D85"/>
    <w:rPr>
      <w:b/>
      <w:bCs/>
    </w:rPr>
  </w:style>
  <w:style w:type="paragraph" w:styleId="ListParagraph">
    <w:name w:val="List Paragraph"/>
    <w:basedOn w:val="Normal"/>
    <w:uiPriority w:val="34"/>
    <w:qFormat/>
    <w:rsid w:val="006C4D8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?linkname=pubmed_pubmed&amp;from_uid=31474177" TargetMode="External"/><Relationship Id="rId11" Type="http://schemas.openxmlformats.org/officeDocument/2006/relationships/image" Target="media/image5.tiff"/><Relationship Id="rId5" Type="http://schemas.openxmlformats.org/officeDocument/2006/relationships/hyperlink" Target="https://www.ncbi.nlm.nih.gov/pubmed/31474177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610</Words>
  <Characters>3478</Characters>
  <Application>Microsoft Office Word</Application>
  <DocSecurity>0</DocSecurity>
  <Lines>28</Lines>
  <Paragraphs>8</Paragraphs>
  <ScaleCrop>false</ScaleCrop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Webb</dc:creator>
  <cp:keywords/>
  <dc:description/>
  <cp:lastModifiedBy>Gary Webb</cp:lastModifiedBy>
  <cp:revision>6</cp:revision>
  <dcterms:created xsi:type="dcterms:W3CDTF">2020-03-28T13:25:00Z</dcterms:created>
  <dcterms:modified xsi:type="dcterms:W3CDTF">2020-03-28T16:25:00Z</dcterms:modified>
</cp:coreProperties>
</file>