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75B6B" w14:textId="77777777" w:rsidR="005D4BA0" w:rsidRPr="00D85EC9" w:rsidRDefault="005D4BA0" w:rsidP="005D4BA0">
      <w:pPr>
        <w:pStyle w:val="Heading1"/>
        <w:rPr>
          <w:color w:val="000000"/>
        </w:rPr>
      </w:pPr>
      <w:r>
        <w:fldChar w:fldCharType="begin"/>
      </w:r>
      <w:r>
        <w:instrText xml:space="preserve"> HYPERLINK "https://www.ncbi.nlm.nih.gov/pubmed/31818210" </w:instrText>
      </w:r>
      <w:r>
        <w:fldChar w:fldCharType="separate"/>
      </w:r>
      <w:r w:rsidRPr="007A4013">
        <w:rPr>
          <w:highlight w:val="yellow"/>
          <w:u w:color="1800C0"/>
        </w:rPr>
        <w:t>Early and Late Effects of Cardiac Resynchronization Therapy in Adult Congenital Heart Disease.</w:t>
      </w:r>
      <w:r>
        <w:rPr>
          <w:highlight w:val="yellow"/>
          <w:u w:color="1800C0"/>
        </w:rPr>
        <w:fldChar w:fldCharType="end"/>
      </w:r>
    </w:p>
    <w:p w14:paraId="099ADDEF" w14:textId="77777777" w:rsidR="005D4BA0" w:rsidRPr="00D85EC9" w:rsidRDefault="005D4BA0" w:rsidP="005D4BA0">
      <w:pPr>
        <w:autoSpaceDE w:val="0"/>
        <w:autoSpaceDN w:val="0"/>
        <w:adjustRightInd w:val="0"/>
        <w:spacing w:after="0"/>
        <w:rPr>
          <w:rFonts w:cstheme="minorHAnsi"/>
          <w:color w:val="000000"/>
          <w:vertAlign w:val="superscript"/>
        </w:rPr>
      </w:pPr>
      <w:proofErr w:type="spellStart"/>
      <w:r w:rsidRPr="00D85EC9">
        <w:rPr>
          <w:rFonts w:cstheme="minorHAnsi"/>
          <w:color w:val="000000"/>
        </w:rPr>
        <w:t>Yanrong</w:t>
      </w:r>
      <w:proofErr w:type="spellEnd"/>
      <w:r w:rsidRPr="00D85EC9">
        <w:rPr>
          <w:rFonts w:cstheme="minorHAnsi"/>
          <w:color w:val="000000"/>
        </w:rPr>
        <w:t> Yin, MD</w:t>
      </w:r>
      <w:r w:rsidRPr="00D85EC9">
        <w:rPr>
          <w:rFonts w:cstheme="minorHAnsi"/>
          <w:color w:val="000000"/>
          <w:vertAlign w:val="superscript"/>
        </w:rPr>
        <w:t>1</w:t>
      </w:r>
      <w:r w:rsidRPr="00D85EC9">
        <w:rPr>
          <w:rFonts w:cstheme="minorHAnsi"/>
          <w:color w:val="000000"/>
        </w:rPr>
        <w:t xml:space="preserve">; Konstantinos Dimopoulos, MD, </w:t>
      </w:r>
      <w:r>
        <w:rPr>
          <w:rFonts w:cstheme="minorHAnsi"/>
          <w:color w:val="000000"/>
        </w:rPr>
        <w:t>P</w:t>
      </w:r>
      <w:r w:rsidRPr="00D85EC9">
        <w:rPr>
          <w:rFonts w:cstheme="minorHAnsi"/>
          <w:color w:val="000000"/>
        </w:rPr>
        <w:t>hD</w:t>
      </w:r>
      <w:r w:rsidRPr="00D85EC9">
        <w:rPr>
          <w:rFonts w:cstheme="minorHAnsi"/>
          <w:color w:val="000000"/>
          <w:vertAlign w:val="superscript"/>
        </w:rPr>
        <w:t>2</w:t>
      </w:r>
      <w:r w:rsidRPr="00D85EC9">
        <w:rPr>
          <w:rFonts w:cstheme="minorHAnsi"/>
          <w:color w:val="000000"/>
        </w:rPr>
        <w:t>; Eriko Shimada, MD</w:t>
      </w:r>
      <w:r w:rsidRPr="00D85EC9">
        <w:rPr>
          <w:rFonts w:cstheme="minorHAnsi"/>
          <w:color w:val="000000"/>
          <w:vertAlign w:val="superscript"/>
        </w:rPr>
        <w:t>3</w:t>
      </w:r>
      <w:r w:rsidRPr="00D85EC9">
        <w:rPr>
          <w:rFonts w:cstheme="minorHAnsi"/>
          <w:color w:val="000000"/>
        </w:rPr>
        <w:t>; Karen Lascelles, PGDip</w:t>
      </w:r>
      <w:r w:rsidRPr="00D85EC9">
        <w:rPr>
          <w:rFonts w:cstheme="minorHAnsi"/>
          <w:color w:val="000000"/>
          <w:vertAlign w:val="superscript"/>
        </w:rPr>
        <w:t>2</w:t>
      </w:r>
      <w:r w:rsidRPr="00D85EC9">
        <w:rPr>
          <w:rFonts w:cstheme="minorHAnsi"/>
          <w:color w:val="000000"/>
        </w:rPr>
        <w:t>; Samuel Griffiths, MSc</w:t>
      </w:r>
      <w:r w:rsidRPr="00D85EC9">
        <w:rPr>
          <w:rFonts w:cstheme="minorHAnsi"/>
          <w:color w:val="000000"/>
          <w:vertAlign w:val="superscript"/>
        </w:rPr>
        <w:t>2</w:t>
      </w:r>
      <w:r w:rsidRPr="00D85EC9">
        <w:rPr>
          <w:rFonts w:cstheme="minorHAnsi"/>
          <w:color w:val="000000"/>
        </w:rPr>
        <w:t>; Tom Wong, MD, PhD</w:t>
      </w:r>
      <w:r w:rsidRPr="00D85EC9">
        <w:rPr>
          <w:rFonts w:cstheme="minorHAnsi"/>
          <w:color w:val="000000"/>
          <w:vertAlign w:val="superscript"/>
        </w:rPr>
        <w:t>2</w:t>
      </w:r>
      <w:r w:rsidRPr="00D85EC9">
        <w:rPr>
          <w:rFonts w:cstheme="minorHAnsi"/>
          <w:color w:val="000000"/>
        </w:rPr>
        <w:t>; Michael A. Gatzoulis, MD, PhD</w:t>
      </w:r>
      <w:r w:rsidRPr="00D85EC9">
        <w:rPr>
          <w:rFonts w:cstheme="minorHAnsi"/>
          <w:color w:val="000000"/>
          <w:vertAlign w:val="superscript"/>
        </w:rPr>
        <w:t>2</w:t>
      </w:r>
      <w:r w:rsidRPr="00D85EC9">
        <w:rPr>
          <w:rFonts w:cstheme="minorHAnsi"/>
          <w:color w:val="000000"/>
        </w:rPr>
        <w:t>; Sonya V. Babu‐Narayan, MBBS, BSc, PhD</w:t>
      </w:r>
      <w:r w:rsidRPr="00D85EC9">
        <w:rPr>
          <w:rFonts w:cstheme="minorHAnsi"/>
          <w:color w:val="000000"/>
          <w:vertAlign w:val="superscript"/>
        </w:rPr>
        <w:t>2</w:t>
      </w:r>
      <w:r w:rsidRPr="00D85EC9">
        <w:rPr>
          <w:rFonts w:cstheme="minorHAnsi"/>
          <w:color w:val="000000"/>
        </w:rPr>
        <w:t>; Wei Li, MD, PhD</w:t>
      </w:r>
      <w:hyperlink r:id="rId5" w:anchor="correspondenceTo" w:history="1">
        <w:r w:rsidRPr="00D85EC9">
          <w:rPr>
            <w:rStyle w:val="Hyperlink"/>
            <w:rFonts w:cstheme="minorHAnsi"/>
            <w:color w:val="224DA8"/>
            <w:vertAlign w:val="superscript"/>
          </w:rPr>
          <w:t>*</w:t>
        </w:r>
      </w:hyperlink>
      <w:r w:rsidRPr="00D85EC9">
        <w:rPr>
          <w:rFonts w:cstheme="minorHAnsi"/>
          <w:color w:val="000000"/>
          <w:vertAlign w:val="superscript"/>
        </w:rPr>
        <w:t>,2</w:t>
      </w:r>
    </w:p>
    <w:p w14:paraId="1540C6EF" w14:textId="77777777" w:rsidR="005D4BA0" w:rsidRPr="00D85EC9" w:rsidRDefault="005D4BA0" w:rsidP="005D4BA0">
      <w:pPr>
        <w:autoSpaceDE w:val="0"/>
        <w:autoSpaceDN w:val="0"/>
        <w:adjustRightInd w:val="0"/>
        <w:spacing w:after="0"/>
        <w:rPr>
          <w:rFonts w:cstheme="minorHAnsi"/>
          <w:color w:val="000000"/>
        </w:rPr>
      </w:pPr>
      <w:r w:rsidRPr="00D85EC9">
        <w:rPr>
          <w:rFonts w:cstheme="minorHAnsi"/>
          <w:color w:val="000000"/>
        </w:rPr>
        <w:t>J Am Heart Assoc. 2019 Dec 17;8(24):e014507. doi: 10.1161/JAHA.119.014507. Epub 2019 Dec 10. No abstract available.</w:t>
      </w:r>
    </w:p>
    <w:p w14:paraId="711C7FA2" w14:textId="77777777" w:rsidR="005D4BA0" w:rsidRPr="00D85EC9" w:rsidRDefault="005D4BA0" w:rsidP="005D4BA0">
      <w:pPr>
        <w:autoSpaceDE w:val="0"/>
        <w:autoSpaceDN w:val="0"/>
        <w:adjustRightInd w:val="0"/>
        <w:spacing w:after="0"/>
        <w:rPr>
          <w:rFonts w:cstheme="minorHAnsi"/>
          <w:color w:val="454545"/>
        </w:rPr>
      </w:pPr>
      <w:r w:rsidRPr="00D85EC9">
        <w:rPr>
          <w:rFonts w:cstheme="minorHAnsi"/>
          <w:color w:val="454545"/>
        </w:rPr>
        <w:t xml:space="preserve">PMID: 31818210 </w:t>
      </w:r>
      <w:hyperlink r:id="rId6" w:history="1">
        <w:r w:rsidRPr="00D85EC9">
          <w:rPr>
            <w:rFonts w:cstheme="minorHAnsi"/>
            <w:color w:val="854428"/>
          </w:rPr>
          <w:t>Free Article</w:t>
        </w:r>
      </w:hyperlink>
    </w:p>
    <w:p w14:paraId="6D596E9F" w14:textId="77777777" w:rsidR="005D4BA0" w:rsidRPr="00D85EC9" w:rsidRDefault="00F315DA" w:rsidP="005D4BA0">
      <w:pPr>
        <w:autoSpaceDE w:val="0"/>
        <w:autoSpaceDN w:val="0"/>
        <w:adjustRightInd w:val="0"/>
        <w:spacing w:after="0"/>
        <w:rPr>
          <w:rFonts w:cstheme="minorHAnsi"/>
          <w:color w:val="000000"/>
        </w:rPr>
      </w:pPr>
      <w:hyperlink r:id="rId7" w:history="1">
        <w:r w:rsidR="005D4BA0" w:rsidRPr="00D85EC9">
          <w:rPr>
            <w:rFonts w:cstheme="minorHAnsi"/>
            <w:color w:val="53509A"/>
            <w:u w:val="single" w:color="53509A"/>
          </w:rPr>
          <w:t>Similar articles</w:t>
        </w:r>
      </w:hyperlink>
    </w:p>
    <w:p w14:paraId="1AF5C4DF" w14:textId="77777777" w:rsidR="005D4BA0" w:rsidRPr="00D85EC9" w:rsidRDefault="005D4BA0" w:rsidP="005D4BA0">
      <w:pPr>
        <w:autoSpaceDE w:val="0"/>
        <w:autoSpaceDN w:val="0"/>
        <w:adjustRightInd w:val="0"/>
        <w:spacing w:after="0"/>
        <w:rPr>
          <w:rFonts w:cstheme="minorHAnsi"/>
          <w:color w:val="000000"/>
        </w:rPr>
      </w:pPr>
      <w:r w:rsidRPr="00D85EC9">
        <w:rPr>
          <w:rFonts w:cstheme="minorHAnsi"/>
          <w:color w:val="000000"/>
        </w:rPr>
        <w:t>Select item 31842676</w:t>
      </w:r>
    </w:p>
    <w:p w14:paraId="618E6345" w14:textId="77777777" w:rsidR="005D4BA0" w:rsidRPr="00D85EC9" w:rsidRDefault="005D4BA0" w:rsidP="005D4BA0">
      <w:pPr>
        <w:rPr>
          <w:rFonts w:cstheme="minorHAnsi"/>
          <w:b/>
          <w:bCs/>
        </w:rPr>
      </w:pPr>
    </w:p>
    <w:p w14:paraId="2E833A1D" w14:textId="77777777" w:rsidR="005D4BA0" w:rsidRPr="00D85EC9" w:rsidRDefault="005D4BA0" w:rsidP="005D4BA0">
      <w:pPr>
        <w:rPr>
          <w:rFonts w:cstheme="minorHAnsi"/>
          <w:b/>
        </w:rPr>
      </w:pPr>
      <w:r w:rsidRPr="00D85EC9">
        <w:rPr>
          <w:rFonts w:eastAsia="Calibri" w:cstheme="minorHAnsi"/>
          <w:b/>
        </w:rPr>
        <w:t>Take</w:t>
      </w:r>
      <w:r w:rsidRPr="00D85EC9">
        <w:rPr>
          <w:rFonts w:cstheme="minorHAnsi"/>
          <w:b/>
        </w:rPr>
        <w:t xml:space="preserve"> </w:t>
      </w:r>
      <w:r w:rsidRPr="00D85EC9">
        <w:rPr>
          <w:rFonts w:eastAsia="Calibri" w:cstheme="minorHAnsi"/>
          <w:b/>
        </w:rPr>
        <w:t>Home</w:t>
      </w:r>
      <w:r w:rsidRPr="00D85EC9">
        <w:rPr>
          <w:rFonts w:cstheme="minorHAnsi"/>
          <w:b/>
        </w:rPr>
        <w:t xml:space="preserve"> </w:t>
      </w:r>
      <w:r w:rsidRPr="00D85EC9">
        <w:rPr>
          <w:rFonts w:eastAsia="Calibri" w:cstheme="minorHAnsi"/>
          <w:b/>
        </w:rPr>
        <w:t>Points</w:t>
      </w:r>
      <w:r w:rsidRPr="00D85EC9">
        <w:rPr>
          <w:rFonts w:cstheme="minorHAnsi"/>
          <w:b/>
        </w:rPr>
        <w:t>:</w:t>
      </w:r>
    </w:p>
    <w:p w14:paraId="7B594186" w14:textId="77777777" w:rsidR="005D4BA0" w:rsidRPr="00D85EC9" w:rsidRDefault="005D4BA0" w:rsidP="005D4BA0">
      <w:pPr>
        <w:pStyle w:val="ListParagraph"/>
        <w:numPr>
          <w:ilvl w:val="0"/>
          <w:numId w:val="1"/>
        </w:numPr>
        <w:rPr>
          <w:rFonts w:cstheme="minorHAnsi"/>
        </w:rPr>
      </w:pPr>
      <w:r w:rsidRPr="00D85EC9">
        <w:rPr>
          <w:rFonts w:cstheme="minorHAnsi"/>
        </w:rPr>
        <w:t xml:space="preserve">Heart failure and systemic ventricular dysfunction are a growing problem in older ACHD patients </w:t>
      </w:r>
    </w:p>
    <w:p w14:paraId="2A33AD76" w14:textId="77777777" w:rsidR="005D4BA0" w:rsidRPr="00D85EC9" w:rsidRDefault="005D4BA0" w:rsidP="005D4BA0">
      <w:pPr>
        <w:pStyle w:val="ListParagraph"/>
        <w:numPr>
          <w:ilvl w:val="0"/>
          <w:numId w:val="1"/>
        </w:numPr>
        <w:rPr>
          <w:rFonts w:cstheme="minorHAnsi"/>
        </w:rPr>
      </w:pPr>
      <w:r w:rsidRPr="00D85EC9">
        <w:rPr>
          <w:rFonts w:cstheme="minorHAnsi"/>
        </w:rPr>
        <w:t>Cardiac Resynchronization Therapy (CRT) was effective in improving NYHA Class in 1-2 (Early) and 4-5 years (Late) after CRT placement in ACHD patients</w:t>
      </w:r>
    </w:p>
    <w:p w14:paraId="1B926468" w14:textId="77777777" w:rsidR="005D4BA0" w:rsidRPr="00D85EC9" w:rsidRDefault="005D4BA0" w:rsidP="005D4BA0">
      <w:pPr>
        <w:pStyle w:val="ListParagraph"/>
        <w:numPr>
          <w:ilvl w:val="0"/>
          <w:numId w:val="1"/>
        </w:numPr>
        <w:rPr>
          <w:rFonts w:cstheme="minorHAnsi"/>
        </w:rPr>
      </w:pPr>
      <w:r w:rsidRPr="00D85EC9">
        <w:rPr>
          <w:rFonts w:cstheme="minorHAnsi"/>
        </w:rPr>
        <w:t>CRT was effective in improving systemic left ventricular function 1-2 years and 4-5 years after CRT placement in ACHD patients</w:t>
      </w:r>
    </w:p>
    <w:p w14:paraId="5A22A9C5" w14:textId="77777777" w:rsidR="005D4BA0" w:rsidRPr="00D85EC9" w:rsidRDefault="005D4BA0" w:rsidP="005D4BA0">
      <w:pPr>
        <w:pStyle w:val="ListParagraph"/>
        <w:numPr>
          <w:ilvl w:val="0"/>
          <w:numId w:val="1"/>
        </w:numPr>
        <w:rPr>
          <w:rFonts w:cstheme="minorHAnsi"/>
        </w:rPr>
      </w:pPr>
      <w:r w:rsidRPr="00D85EC9">
        <w:rPr>
          <w:rFonts w:cstheme="minorHAnsi"/>
        </w:rPr>
        <w:t>CRT was not effective in improving systemic right ventricular function 1-2 years and 4-5 years after CRT placement in ACHD patients</w:t>
      </w:r>
    </w:p>
    <w:p w14:paraId="7ED7C90C" w14:textId="77777777" w:rsidR="005D4BA0" w:rsidRPr="00D85EC9" w:rsidRDefault="005D4BA0" w:rsidP="005D4BA0">
      <w:pPr>
        <w:pStyle w:val="ListParagraph"/>
        <w:numPr>
          <w:ilvl w:val="0"/>
          <w:numId w:val="1"/>
        </w:numPr>
        <w:rPr>
          <w:rFonts w:cstheme="minorHAnsi"/>
        </w:rPr>
      </w:pPr>
      <w:r w:rsidRPr="00D85EC9">
        <w:rPr>
          <w:rFonts w:cstheme="minorHAnsi"/>
        </w:rPr>
        <w:t>QRS duration was the only predictor of CRT response though systemic LV morphology appears to important as well.</w:t>
      </w:r>
    </w:p>
    <w:p w14:paraId="3748D370" w14:textId="77777777" w:rsidR="005D4BA0" w:rsidRPr="00D85EC9" w:rsidRDefault="005D4BA0" w:rsidP="005D4BA0">
      <w:pPr>
        <w:pStyle w:val="ListParagraph"/>
        <w:numPr>
          <w:ilvl w:val="0"/>
          <w:numId w:val="1"/>
        </w:numPr>
        <w:rPr>
          <w:rFonts w:cstheme="minorHAnsi"/>
        </w:rPr>
      </w:pPr>
      <w:r w:rsidRPr="00D85EC9">
        <w:rPr>
          <w:rFonts w:cstheme="minorHAnsi"/>
        </w:rPr>
        <w:t>CRT implantation can be achieved in biventricular circulation but does carry a high rate of device implant complications (20%)</w:t>
      </w:r>
      <w:r>
        <w:rPr>
          <w:rFonts w:cstheme="minorHAnsi"/>
        </w:rPr>
        <w:t>.</w:t>
      </w:r>
    </w:p>
    <w:p w14:paraId="7FE42FBF" w14:textId="77777777" w:rsidR="005D4BA0" w:rsidRPr="00D85EC9" w:rsidRDefault="005D4BA0" w:rsidP="005D4BA0">
      <w:pPr>
        <w:pStyle w:val="ListParagraph"/>
        <w:numPr>
          <w:ilvl w:val="0"/>
          <w:numId w:val="1"/>
        </w:numPr>
        <w:rPr>
          <w:rFonts w:cstheme="minorHAnsi"/>
        </w:rPr>
      </w:pPr>
      <w:r w:rsidRPr="00D85EC9">
        <w:rPr>
          <w:rFonts w:cstheme="minorHAnsi"/>
        </w:rPr>
        <w:t xml:space="preserve">CRT should be considered in patients who meet criteria from the </w:t>
      </w:r>
      <w:r w:rsidRPr="00D85EC9">
        <w:rPr>
          <w:rFonts w:cstheme="minorHAnsi"/>
          <w:bCs/>
          <w:color w:val="000000"/>
          <w:shd w:val="clear" w:color="auto" w:fill="FFFFFF"/>
        </w:rPr>
        <w:t>2014 PACES/HRS Expert Consensus Statement on the Recognition and Management of Arrhythmias in Adult Congenital Heart Disease</w:t>
      </w:r>
      <w:r>
        <w:rPr>
          <w:rFonts w:cstheme="minorHAnsi"/>
          <w:bCs/>
          <w:color w:val="000000"/>
          <w:shd w:val="clear" w:color="auto" w:fill="FFFFFF"/>
        </w:rPr>
        <w:t>.</w:t>
      </w:r>
    </w:p>
    <w:p w14:paraId="7008BE33" w14:textId="77777777" w:rsidR="005D4BA0" w:rsidRDefault="005D4BA0" w:rsidP="005D4BA0">
      <w:pPr>
        <w:rPr>
          <w:rFonts w:cstheme="minorHAnsi"/>
        </w:rPr>
      </w:pPr>
    </w:p>
    <w:p w14:paraId="1A75A8A2" w14:textId="77777777" w:rsidR="005D4BA0" w:rsidRPr="005A4E46" w:rsidRDefault="005D4BA0" w:rsidP="005D4BA0">
      <w:pPr>
        <w:rPr>
          <w:rFonts w:cstheme="minorHAnsi"/>
        </w:rPr>
      </w:pPr>
      <w:r>
        <w:rPr>
          <w:noProof/>
        </w:rPr>
        <w:drawing>
          <wp:inline distT="0" distB="0" distL="0" distR="0" wp14:anchorId="2F8C1089" wp14:editId="2B632F23">
            <wp:extent cx="1797050" cy="216859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1763" cy="2186347"/>
                    </a:xfrm>
                    <a:prstGeom prst="rect">
                      <a:avLst/>
                    </a:prstGeom>
                    <a:noFill/>
                    <a:ln>
                      <a:noFill/>
                    </a:ln>
                  </pic:spPr>
                </pic:pic>
              </a:graphicData>
            </a:graphic>
          </wp:inline>
        </w:drawing>
      </w:r>
    </w:p>
    <w:p w14:paraId="7417F3A1" w14:textId="5F925EC9" w:rsidR="005D4BA0" w:rsidRPr="00D85EC9" w:rsidRDefault="005D4BA0" w:rsidP="00AE387B">
      <w:pPr>
        <w:rPr>
          <w:rFonts w:eastAsia="Calibri" w:cstheme="minorHAnsi"/>
          <w:sz w:val="24"/>
          <w:szCs w:val="24"/>
        </w:rPr>
      </w:pPr>
      <w:r w:rsidRPr="00D85EC9">
        <w:rPr>
          <w:rFonts w:eastAsia="Calibri" w:cstheme="minorHAnsi"/>
          <w:b/>
          <w:i/>
        </w:rPr>
        <w:lastRenderedPageBreak/>
        <w:t>Comment</w:t>
      </w:r>
      <w:r w:rsidRPr="00D85EC9">
        <w:rPr>
          <w:rFonts w:cstheme="minorHAnsi"/>
          <w:b/>
          <w:i/>
        </w:rPr>
        <w:t xml:space="preserve"> </w:t>
      </w:r>
      <w:r w:rsidRPr="00D85EC9">
        <w:rPr>
          <w:rFonts w:eastAsia="Calibri" w:cstheme="minorHAnsi"/>
          <w:b/>
          <w:i/>
        </w:rPr>
        <w:t>from</w:t>
      </w:r>
      <w:r w:rsidRPr="00D85EC9">
        <w:rPr>
          <w:rFonts w:cstheme="minorHAnsi"/>
          <w:b/>
          <w:i/>
        </w:rPr>
        <w:t xml:space="preserve"> </w:t>
      </w:r>
      <w:r w:rsidRPr="00D85EC9">
        <w:rPr>
          <w:rFonts w:eastAsia="Calibri" w:cstheme="minorHAnsi"/>
          <w:b/>
          <w:i/>
        </w:rPr>
        <w:t>Dr</w:t>
      </w:r>
      <w:r w:rsidRPr="00D85EC9">
        <w:rPr>
          <w:rFonts w:cstheme="minorHAnsi"/>
          <w:b/>
          <w:i/>
        </w:rPr>
        <w:t xml:space="preserve">. </w:t>
      </w:r>
      <w:r w:rsidRPr="00D85EC9">
        <w:rPr>
          <w:rFonts w:eastAsia="Calibri" w:cstheme="minorHAnsi"/>
          <w:b/>
          <w:i/>
        </w:rPr>
        <w:t>Akash</w:t>
      </w:r>
      <w:r w:rsidRPr="00D85EC9">
        <w:rPr>
          <w:rFonts w:cstheme="minorHAnsi"/>
          <w:b/>
          <w:i/>
        </w:rPr>
        <w:t xml:space="preserve"> </w:t>
      </w:r>
      <w:r w:rsidRPr="00D85EC9">
        <w:rPr>
          <w:rFonts w:eastAsia="Calibri" w:cstheme="minorHAnsi"/>
          <w:b/>
          <w:i/>
        </w:rPr>
        <w:t>Patel</w:t>
      </w:r>
      <w:r w:rsidRPr="00D85EC9">
        <w:rPr>
          <w:rFonts w:cstheme="minorHAnsi"/>
          <w:b/>
          <w:i/>
        </w:rPr>
        <w:t xml:space="preserve"> (</w:t>
      </w:r>
      <w:r w:rsidRPr="00D85EC9">
        <w:rPr>
          <w:rFonts w:eastAsia="Calibri" w:cstheme="minorHAnsi"/>
          <w:b/>
          <w:i/>
        </w:rPr>
        <w:t>San</w:t>
      </w:r>
      <w:r w:rsidRPr="00D85EC9">
        <w:rPr>
          <w:rFonts w:cstheme="minorHAnsi"/>
          <w:b/>
          <w:i/>
        </w:rPr>
        <w:t xml:space="preserve"> </w:t>
      </w:r>
      <w:r w:rsidRPr="00D85EC9">
        <w:rPr>
          <w:rFonts w:eastAsia="Calibri" w:cstheme="minorHAnsi"/>
          <w:b/>
          <w:i/>
        </w:rPr>
        <w:t>Francisco</w:t>
      </w:r>
      <w:r w:rsidRPr="00D85EC9">
        <w:rPr>
          <w:rFonts w:cstheme="minorHAnsi"/>
          <w:b/>
          <w:i/>
        </w:rPr>
        <w:t xml:space="preserve">), </w:t>
      </w:r>
      <w:r w:rsidRPr="00D85EC9">
        <w:rPr>
          <w:rFonts w:eastAsia="Calibri" w:cstheme="minorHAnsi"/>
          <w:b/>
          <w:i/>
        </w:rPr>
        <w:t>section</w:t>
      </w:r>
      <w:r w:rsidRPr="00D85EC9">
        <w:rPr>
          <w:rFonts w:cstheme="minorHAnsi"/>
          <w:b/>
          <w:i/>
        </w:rPr>
        <w:t xml:space="preserve"> </w:t>
      </w:r>
      <w:r w:rsidRPr="00D85EC9">
        <w:rPr>
          <w:rFonts w:eastAsia="Calibri" w:cstheme="minorHAnsi"/>
          <w:b/>
          <w:i/>
        </w:rPr>
        <w:t>editor</w:t>
      </w:r>
      <w:r w:rsidRPr="00D85EC9">
        <w:rPr>
          <w:rFonts w:cstheme="minorHAnsi"/>
          <w:b/>
          <w:i/>
        </w:rPr>
        <w:t xml:space="preserve"> </w:t>
      </w:r>
      <w:r w:rsidRPr="00D85EC9">
        <w:rPr>
          <w:rFonts w:eastAsia="Calibri" w:cstheme="minorHAnsi"/>
          <w:b/>
          <w:i/>
        </w:rPr>
        <w:t>of</w:t>
      </w:r>
      <w:r w:rsidRPr="00D85EC9">
        <w:rPr>
          <w:rFonts w:cstheme="minorHAnsi"/>
          <w:b/>
          <w:i/>
        </w:rPr>
        <w:t xml:space="preserve"> </w:t>
      </w:r>
      <w:r w:rsidRPr="00D85EC9">
        <w:rPr>
          <w:rFonts w:eastAsia="Calibri" w:cstheme="minorHAnsi"/>
          <w:b/>
          <w:i/>
        </w:rPr>
        <w:t>Congenital</w:t>
      </w:r>
      <w:r w:rsidRPr="00D85EC9">
        <w:rPr>
          <w:rFonts w:cstheme="minorHAnsi"/>
          <w:b/>
          <w:i/>
        </w:rPr>
        <w:t xml:space="preserve"> </w:t>
      </w:r>
      <w:r w:rsidRPr="00D85EC9">
        <w:rPr>
          <w:rFonts w:eastAsia="Calibri" w:cstheme="minorHAnsi"/>
          <w:b/>
          <w:i/>
        </w:rPr>
        <w:t>Electrophysiology</w:t>
      </w:r>
      <w:r w:rsidRPr="00D85EC9">
        <w:rPr>
          <w:rFonts w:cstheme="minorHAnsi"/>
          <w:b/>
          <w:i/>
        </w:rPr>
        <w:t xml:space="preserve"> </w:t>
      </w:r>
      <w:r w:rsidRPr="00D85EC9">
        <w:rPr>
          <w:rFonts w:eastAsia="Calibri" w:cstheme="minorHAnsi"/>
          <w:b/>
          <w:i/>
        </w:rPr>
        <w:t>Journal</w:t>
      </w:r>
      <w:r w:rsidRPr="00D85EC9">
        <w:rPr>
          <w:rFonts w:cstheme="minorHAnsi"/>
          <w:b/>
          <w:i/>
        </w:rPr>
        <w:t xml:space="preserve"> </w:t>
      </w:r>
      <w:r w:rsidRPr="00D85EC9">
        <w:rPr>
          <w:rFonts w:eastAsia="Calibri" w:cstheme="minorHAnsi"/>
          <w:b/>
          <w:i/>
        </w:rPr>
        <w:t>Watch.</w:t>
      </w:r>
      <w:r w:rsidRPr="00D85EC9">
        <w:rPr>
          <w:rFonts w:cstheme="minorHAnsi"/>
          <w:b/>
          <w:i/>
        </w:rPr>
        <w:t xml:space="preserve"> </w:t>
      </w:r>
      <w:r w:rsidRPr="00D85EC9">
        <w:rPr>
          <w:rFonts w:cstheme="minorHAnsi"/>
        </w:rPr>
        <w:t xml:space="preserve"> As congenital heart disease patients continue to survive into older adulthood, the population of patients at risk for developing heart failure will continue to increase.  The use of cardiac resynchronization therapy (CRT) for the treatment of heart failure in adults with congenital heart disease (ACHD) is poorly understood due to the limited number of patients, heterogeneity of congenital heart disease lesions, morphology of the systemic failing ventricle (right vs. left), impact of single ventricle vs. biventricular circulation, and short duration of follow-up.  This study aimed to assess the impact of early and late effects of CRT in ACHD.</w:t>
      </w:r>
    </w:p>
    <w:p w14:paraId="18AAB050" w14:textId="55EDDE93" w:rsidR="005D4BA0" w:rsidRPr="00D85EC9" w:rsidRDefault="005D4BA0" w:rsidP="005D4BA0">
      <w:pPr>
        <w:autoSpaceDE w:val="0"/>
        <w:autoSpaceDN w:val="0"/>
        <w:adjustRightInd w:val="0"/>
        <w:rPr>
          <w:rFonts w:eastAsia="Times New Roman" w:cstheme="minorHAnsi"/>
          <w:color w:val="000000"/>
          <w:shd w:val="clear" w:color="auto" w:fill="FFFFFF"/>
        </w:rPr>
      </w:pPr>
      <w:r w:rsidRPr="00D85EC9">
        <w:rPr>
          <w:rFonts w:eastAsia="Calibri" w:cstheme="minorHAnsi"/>
        </w:rPr>
        <w:t>This was a retrospective single center study of all patients</w:t>
      </w:r>
      <w:r w:rsidRPr="00D85EC9">
        <w:rPr>
          <w:rFonts w:cstheme="minorHAnsi"/>
        </w:rPr>
        <w:t xml:space="preserve"> with ACHD who had reduced systemic ventricular function (LV Ejection Fraction (LVEF) </w:t>
      </w:r>
      <w:r w:rsidRPr="00D85EC9">
        <w:rPr>
          <w:rFonts w:cstheme="minorHAnsi"/>
          <w:b/>
          <w:bCs/>
        </w:rPr>
        <w:t>&lt;</w:t>
      </w:r>
      <w:r w:rsidRPr="00D85EC9">
        <w:rPr>
          <w:rFonts w:cstheme="minorHAnsi"/>
        </w:rPr>
        <w:t xml:space="preserve"> 40% or RV Fractional Area Change (RV FAC) </w:t>
      </w:r>
      <w:r w:rsidRPr="00D85EC9">
        <w:rPr>
          <w:rFonts w:cstheme="minorHAnsi"/>
          <w:b/>
          <w:bCs/>
        </w:rPr>
        <w:t>&lt;</w:t>
      </w:r>
      <w:r w:rsidRPr="00D85EC9">
        <w:rPr>
          <w:rFonts w:cstheme="minorHAnsi"/>
        </w:rPr>
        <w:t xml:space="preserve"> 35%), received CRT between 2004 and 2017, and had &gt;90% biventricular pacing.  The clinical practice for determining who underwent CRT placement during this time period was made on an individual basis through a multidisciplinary team approach (ACHD Cardiologist, Electrophysiologist, and Congenital Surgeon).  After implantation, optimization of device programming was based on routine clinical practice.  </w:t>
      </w:r>
      <w:r w:rsidRPr="00D85EC9">
        <w:rPr>
          <w:rFonts w:eastAsia="Calibri" w:cstheme="minorHAnsi"/>
        </w:rPr>
        <w:t xml:space="preserve">Baseline clinical, device, electrocardiographic, and echocardiographic data were obtained. Follow-up data was obtained during two time periods: early (1-2 years after CRT) and late (4-5 years after CRT).  Outcome measures included death, heart transplantation, and positive response to CRT defined as a </w:t>
      </w:r>
      <w:r w:rsidRPr="00D85EC9">
        <w:rPr>
          <w:rFonts w:cstheme="minorHAnsi"/>
          <w:b/>
          <w:bCs/>
        </w:rPr>
        <w:t>≥</w:t>
      </w:r>
      <w:r w:rsidRPr="00D85EC9">
        <w:rPr>
          <w:rFonts w:cstheme="minorHAnsi"/>
        </w:rPr>
        <w:t xml:space="preserve"> 5% absolute increase in LVEF or RVFAC at follow-up.</w:t>
      </w:r>
    </w:p>
    <w:p w14:paraId="673ABDFC" w14:textId="77777777" w:rsidR="005D4BA0" w:rsidRPr="00D85EC9" w:rsidRDefault="005D4BA0" w:rsidP="005D4BA0">
      <w:pPr>
        <w:rPr>
          <w:rFonts w:eastAsia="Calibri" w:cstheme="minorHAnsi"/>
          <w:shd w:val="clear" w:color="auto" w:fill="FFFFFF"/>
        </w:rPr>
      </w:pPr>
      <w:r w:rsidRPr="00D85EC9">
        <w:rPr>
          <w:rFonts w:eastAsia="Calibri" w:cstheme="minorHAnsi"/>
          <w:shd w:val="clear" w:color="auto" w:fill="FFFFFF"/>
        </w:rPr>
        <w:t>The</w:t>
      </w:r>
      <w:r w:rsidRPr="00D85EC9">
        <w:rPr>
          <w:rFonts w:eastAsia="Times New Roman" w:cstheme="minorHAnsi"/>
          <w:shd w:val="clear" w:color="auto" w:fill="FFFFFF"/>
        </w:rPr>
        <w:t xml:space="preserve"> </w:t>
      </w:r>
      <w:r w:rsidRPr="00D85EC9">
        <w:rPr>
          <w:rFonts w:eastAsia="Calibri" w:cstheme="minorHAnsi"/>
          <w:shd w:val="clear" w:color="auto" w:fill="FFFFFF"/>
        </w:rPr>
        <w:t>study</w:t>
      </w:r>
      <w:r w:rsidRPr="00D85EC9">
        <w:rPr>
          <w:rFonts w:eastAsia="Times New Roman" w:cstheme="minorHAnsi"/>
          <w:shd w:val="clear" w:color="auto" w:fill="FFFFFF"/>
        </w:rPr>
        <w:t xml:space="preserve"> </w:t>
      </w:r>
      <w:r w:rsidRPr="00D85EC9">
        <w:rPr>
          <w:rFonts w:eastAsia="Calibri" w:cstheme="minorHAnsi"/>
          <w:shd w:val="clear" w:color="auto" w:fill="FFFFFF"/>
        </w:rPr>
        <w:t>group</w:t>
      </w:r>
      <w:r w:rsidRPr="00D85EC9">
        <w:rPr>
          <w:rFonts w:eastAsia="Times New Roman" w:cstheme="minorHAnsi"/>
          <w:shd w:val="clear" w:color="auto" w:fill="FFFFFF"/>
        </w:rPr>
        <w:t xml:space="preserve"> </w:t>
      </w:r>
      <w:r w:rsidRPr="00D85EC9">
        <w:rPr>
          <w:rFonts w:eastAsia="Calibri" w:cstheme="minorHAnsi"/>
          <w:shd w:val="clear" w:color="auto" w:fill="FFFFFF"/>
        </w:rPr>
        <w:t>included</w:t>
      </w:r>
      <w:r w:rsidRPr="00D85EC9">
        <w:rPr>
          <w:rFonts w:eastAsia="Times New Roman" w:cstheme="minorHAnsi"/>
          <w:shd w:val="clear" w:color="auto" w:fill="FFFFFF"/>
        </w:rPr>
        <w:t xml:space="preserve"> 54 </w:t>
      </w:r>
      <w:r w:rsidRPr="00D85EC9">
        <w:rPr>
          <w:rFonts w:eastAsia="Calibri" w:cstheme="minorHAnsi"/>
          <w:shd w:val="clear" w:color="auto" w:fill="FFFFFF"/>
        </w:rPr>
        <w:t xml:space="preserve">patients who had reduced systemic ventricular function, a CRT device implanted with </w:t>
      </w:r>
      <w:proofErr w:type="spellStart"/>
      <w:r w:rsidRPr="00D85EC9">
        <w:rPr>
          <w:rFonts w:eastAsia="Calibri" w:cstheme="minorHAnsi"/>
          <w:shd w:val="clear" w:color="auto" w:fill="FFFFFF"/>
        </w:rPr>
        <w:t>BiV</w:t>
      </w:r>
      <w:proofErr w:type="spellEnd"/>
      <w:r w:rsidRPr="00D85EC9">
        <w:rPr>
          <w:rFonts w:eastAsia="Calibri" w:cstheme="minorHAnsi"/>
          <w:shd w:val="clear" w:color="auto" w:fill="FFFFFF"/>
        </w:rPr>
        <w:t xml:space="preserve"> pacing &gt;90%, and acceptable imaging.  The majority of patients had systemic left ventricles (72%). The lesions included were LVOT lesions (31%), ccTGA (24%), TOF (20%), others systemic LV (20%), and other systemic RV (4%). See figure below.</w:t>
      </w:r>
    </w:p>
    <w:p w14:paraId="53974CFB" w14:textId="77777777" w:rsidR="005D4BA0" w:rsidRPr="00D85EC9" w:rsidRDefault="005D4BA0" w:rsidP="005D4BA0">
      <w:pPr>
        <w:rPr>
          <w:rFonts w:eastAsia="Calibri" w:cstheme="minorHAnsi"/>
          <w:shd w:val="clear" w:color="auto" w:fill="FFFFFF"/>
        </w:rPr>
      </w:pPr>
    </w:p>
    <w:p w14:paraId="6E710A41" w14:textId="77777777" w:rsidR="005D4BA0" w:rsidRPr="00D85EC9" w:rsidRDefault="005D4BA0" w:rsidP="005D4BA0">
      <w:pPr>
        <w:rPr>
          <w:rFonts w:eastAsia="Calibri" w:cstheme="minorHAnsi"/>
          <w:shd w:val="clear" w:color="auto" w:fill="FFFFFF"/>
          <w14:textOutline w14:w="9525" w14:cap="rnd" w14:cmpd="sng" w14:algn="ctr">
            <w14:solidFill>
              <w14:schemeClr w14:val="accent1"/>
            </w14:solidFill>
            <w14:prstDash w14:val="solid"/>
            <w14:bevel/>
          </w14:textOutline>
        </w:rPr>
      </w:pPr>
      <w:r w:rsidRPr="00D85EC9">
        <w:rPr>
          <w:rFonts w:eastAsia="Calibri" w:cstheme="minorHAnsi"/>
          <w:noProof/>
          <w:shd w:val="clear" w:color="auto" w:fill="FFFFFF"/>
          <w14:textOutline w14:w="9525" w14:cap="rnd" w14:cmpd="sng" w14:algn="ctr">
            <w14:solidFill>
              <w14:schemeClr w14:val="accent1"/>
            </w14:solidFill>
            <w14:prstDash w14:val="solid"/>
            <w14:bevel/>
          </w14:textOutline>
        </w:rPr>
        <w:lastRenderedPageBreak/>
        <w:drawing>
          <wp:inline distT="0" distB="0" distL="0" distR="0" wp14:anchorId="1714239D" wp14:editId="1F820A1F">
            <wp:extent cx="5982970" cy="5091288"/>
            <wp:effectExtent l="0" t="57150" r="0" b="0"/>
            <wp:docPr id="11" name="Diagram 11">
              <a:extLst xmlns:a="http://schemas.openxmlformats.org/drawingml/2006/main">
                <a:ext uri="{FF2B5EF4-FFF2-40B4-BE49-F238E27FC236}">
                  <a16:creationId xmlns:a16="http://schemas.microsoft.com/office/drawing/2014/main" id="{E0015A54-205C-FD4E-8137-1C86AB1265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1A34DFD" w14:textId="77777777" w:rsidR="005D4BA0" w:rsidRPr="00D85EC9" w:rsidRDefault="005D4BA0" w:rsidP="005D4BA0">
      <w:pPr>
        <w:rPr>
          <w:rFonts w:eastAsia="Calibri" w:cstheme="minorHAnsi"/>
          <w:shd w:val="clear" w:color="auto" w:fill="FFFFFF"/>
        </w:rPr>
      </w:pPr>
    </w:p>
    <w:p w14:paraId="32BD1B9D" w14:textId="77777777" w:rsidR="00BD7308" w:rsidRDefault="00BD7308">
      <w:pPr>
        <w:rPr>
          <w:rFonts w:eastAsia="Calibri" w:cstheme="minorHAnsi"/>
          <w:shd w:val="clear" w:color="auto" w:fill="FFFFFF"/>
        </w:rPr>
      </w:pPr>
      <w:r>
        <w:rPr>
          <w:rFonts w:eastAsia="Calibri" w:cstheme="minorHAnsi"/>
          <w:shd w:val="clear" w:color="auto" w:fill="FFFFFF"/>
        </w:rPr>
        <w:br w:type="page"/>
      </w:r>
    </w:p>
    <w:p w14:paraId="70F38573" w14:textId="5C5B3996" w:rsidR="005D4BA0" w:rsidRPr="00D85EC9" w:rsidRDefault="005D4BA0" w:rsidP="005D4BA0">
      <w:pPr>
        <w:rPr>
          <w:rFonts w:eastAsia="Calibri" w:cstheme="minorHAnsi"/>
          <w:shd w:val="clear" w:color="auto" w:fill="FFFFFF"/>
        </w:rPr>
      </w:pPr>
      <w:r w:rsidRPr="00D85EC9">
        <w:rPr>
          <w:rFonts w:eastAsia="Calibri" w:cstheme="minorHAnsi"/>
          <w:shd w:val="clear" w:color="auto" w:fill="FFFFFF"/>
        </w:rPr>
        <w:lastRenderedPageBreak/>
        <w:t xml:space="preserve">The mean age of the cohort was 46 ± 13 years with 74% male and a mean follow-up of </w:t>
      </w:r>
      <w:r w:rsidRPr="00D85EC9">
        <w:rPr>
          <w:rFonts w:cstheme="minorHAnsi"/>
        </w:rPr>
        <w:t>5.7</w:t>
      </w:r>
      <w:r w:rsidRPr="00D85EC9">
        <w:rPr>
          <w:rFonts w:cstheme="minorHAnsi"/>
          <w:b/>
          <w:bCs/>
        </w:rPr>
        <w:t>±</w:t>
      </w:r>
      <w:r w:rsidRPr="00D85EC9">
        <w:rPr>
          <w:rFonts w:cstheme="minorHAnsi"/>
        </w:rPr>
        <w:t xml:space="preserve"> 3.0 years after CRT.</w:t>
      </w:r>
      <w:r w:rsidRPr="00D85EC9">
        <w:rPr>
          <w:rFonts w:eastAsia="Calibri" w:cstheme="minorHAnsi"/>
          <w:shd w:val="clear" w:color="auto" w:fill="FFFFFF"/>
        </w:rPr>
        <w:t xml:space="preserve"> 96% had NYHA Class II-IV heart failure. Baseline demographic in Table below. </w:t>
      </w:r>
    </w:p>
    <w:tbl>
      <w:tblPr>
        <w:tblW w:w="8458" w:type="dxa"/>
        <w:tblLook w:val="04A0" w:firstRow="1" w:lastRow="0" w:firstColumn="1" w:lastColumn="0" w:noHBand="0" w:noVBand="1"/>
      </w:tblPr>
      <w:tblGrid>
        <w:gridCol w:w="6262"/>
        <w:gridCol w:w="2196"/>
      </w:tblGrid>
      <w:tr w:rsidR="005D4BA0" w:rsidRPr="00D85EC9" w14:paraId="086161CC" w14:textId="77777777" w:rsidTr="00684B43">
        <w:trPr>
          <w:trHeight w:val="292"/>
        </w:trPr>
        <w:tc>
          <w:tcPr>
            <w:tcW w:w="6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382DE"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Demographic and clinical characteristics</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14:paraId="23D047DB" w14:textId="77777777" w:rsidR="005D4BA0" w:rsidRPr="00D85EC9" w:rsidRDefault="005D4BA0" w:rsidP="00684B43">
            <w:pPr>
              <w:jc w:val="center"/>
              <w:rPr>
                <w:rFonts w:eastAsia="Times New Roman" w:cstheme="minorHAnsi"/>
                <w:b/>
                <w:bCs/>
                <w:color w:val="000000"/>
              </w:rPr>
            </w:pPr>
            <w:r w:rsidRPr="00D85EC9">
              <w:rPr>
                <w:rFonts w:eastAsia="Times New Roman" w:cstheme="minorHAnsi"/>
                <w:b/>
                <w:bCs/>
                <w:color w:val="000000"/>
              </w:rPr>
              <w:t> </w:t>
            </w:r>
          </w:p>
        </w:tc>
      </w:tr>
      <w:tr w:rsidR="005D4BA0" w:rsidRPr="00D85EC9" w14:paraId="77AC13D4"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1AF17C4B"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Age at CRT implantation (Years)</w:t>
            </w:r>
          </w:p>
        </w:tc>
        <w:tc>
          <w:tcPr>
            <w:tcW w:w="2196" w:type="dxa"/>
            <w:tcBorders>
              <w:top w:val="nil"/>
              <w:left w:val="nil"/>
              <w:bottom w:val="single" w:sz="4" w:space="0" w:color="auto"/>
              <w:right w:val="single" w:sz="4" w:space="0" w:color="auto"/>
            </w:tcBorders>
            <w:shd w:val="clear" w:color="auto" w:fill="auto"/>
            <w:noWrap/>
            <w:vAlign w:val="bottom"/>
            <w:hideMark/>
          </w:tcPr>
          <w:p w14:paraId="3D3A1107"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46 ± 13</w:t>
            </w:r>
          </w:p>
        </w:tc>
      </w:tr>
      <w:tr w:rsidR="005D4BA0" w:rsidRPr="00D85EC9" w14:paraId="413E0DBB"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1F81A780"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Men </w:t>
            </w:r>
          </w:p>
        </w:tc>
        <w:tc>
          <w:tcPr>
            <w:tcW w:w="2196" w:type="dxa"/>
            <w:tcBorders>
              <w:top w:val="nil"/>
              <w:left w:val="nil"/>
              <w:bottom w:val="single" w:sz="4" w:space="0" w:color="auto"/>
              <w:right w:val="single" w:sz="4" w:space="0" w:color="auto"/>
            </w:tcBorders>
            <w:shd w:val="clear" w:color="auto" w:fill="auto"/>
            <w:noWrap/>
            <w:vAlign w:val="bottom"/>
            <w:hideMark/>
          </w:tcPr>
          <w:p w14:paraId="4C039A2A"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40 (74%)</w:t>
            </w:r>
          </w:p>
        </w:tc>
      </w:tr>
      <w:tr w:rsidR="005D4BA0" w:rsidRPr="00D85EC9" w14:paraId="37C70DBE"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04A19BEC"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Follow-up duration</w:t>
            </w:r>
          </w:p>
        </w:tc>
        <w:tc>
          <w:tcPr>
            <w:tcW w:w="2196" w:type="dxa"/>
            <w:tcBorders>
              <w:top w:val="nil"/>
              <w:left w:val="nil"/>
              <w:bottom w:val="single" w:sz="4" w:space="0" w:color="auto"/>
              <w:right w:val="single" w:sz="4" w:space="0" w:color="auto"/>
            </w:tcBorders>
            <w:shd w:val="clear" w:color="auto" w:fill="auto"/>
            <w:noWrap/>
            <w:vAlign w:val="bottom"/>
            <w:hideMark/>
          </w:tcPr>
          <w:p w14:paraId="46E7702B"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5.7 ± 3.0</w:t>
            </w:r>
          </w:p>
        </w:tc>
      </w:tr>
      <w:tr w:rsidR="005D4BA0" w:rsidRPr="00D85EC9" w14:paraId="5082C661"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6A670FFB"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SBP at CRT implantation, mmHg </w:t>
            </w:r>
          </w:p>
        </w:tc>
        <w:tc>
          <w:tcPr>
            <w:tcW w:w="2196" w:type="dxa"/>
            <w:tcBorders>
              <w:top w:val="nil"/>
              <w:left w:val="nil"/>
              <w:bottom w:val="single" w:sz="4" w:space="0" w:color="auto"/>
              <w:right w:val="single" w:sz="4" w:space="0" w:color="auto"/>
            </w:tcBorders>
            <w:shd w:val="clear" w:color="auto" w:fill="auto"/>
            <w:noWrap/>
            <w:vAlign w:val="bottom"/>
            <w:hideMark/>
          </w:tcPr>
          <w:p w14:paraId="0EDD07D9"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112 ± 15</w:t>
            </w:r>
          </w:p>
        </w:tc>
      </w:tr>
      <w:tr w:rsidR="005D4BA0" w:rsidRPr="00D85EC9" w14:paraId="46A69C75"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44015A12"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DBP at CRT implantation, mmHg </w:t>
            </w:r>
          </w:p>
        </w:tc>
        <w:tc>
          <w:tcPr>
            <w:tcW w:w="2196" w:type="dxa"/>
            <w:tcBorders>
              <w:top w:val="nil"/>
              <w:left w:val="nil"/>
              <w:bottom w:val="single" w:sz="4" w:space="0" w:color="auto"/>
              <w:right w:val="single" w:sz="4" w:space="0" w:color="auto"/>
            </w:tcBorders>
            <w:shd w:val="clear" w:color="auto" w:fill="auto"/>
            <w:noWrap/>
            <w:vAlign w:val="bottom"/>
            <w:hideMark/>
          </w:tcPr>
          <w:p w14:paraId="02E92E6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70 ± 10</w:t>
            </w:r>
          </w:p>
        </w:tc>
      </w:tr>
      <w:tr w:rsidR="005D4BA0" w:rsidRPr="00D85EC9" w14:paraId="6D188997"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00CD095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BMI, kg/m2 </w:t>
            </w:r>
          </w:p>
        </w:tc>
        <w:tc>
          <w:tcPr>
            <w:tcW w:w="2196" w:type="dxa"/>
            <w:tcBorders>
              <w:top w:val="nil"/>
              <w:left w:val="nil"/>
              <w:bottom w:val="single" w:sz="4" w:space="0" w:color="auto"/>
              <w:right w:val="single" w:sz="4" w:space="0" w:color="auto"/>
            </w:tcBorders>
            <w:shd w:val="clear" w:color="auto" w:fill="auto"/>
            <w:noWrap/>
            <w:vAlign w:val="bottom"/>
            <w:hideMark/>
          </w:tcPr>
          <w:p w14:paraId="54EB974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25.7 (22.9–29.7)</w:t>
            </w:r>
          </w:p>
        </w:tc>
      </w:tr>
      <w:tr w:rsidR="005D4BA0" w:rsidRPr="00D85EC9" w14:paraId="31C1C92B"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61634DA1"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w:t>
            </w:r>
          </w:p>
        </w:tc>
        <w:tc>
          <w:tcPr>
            <w:tcW w:w="2196" w:type="dxa"/>
            <w:tcBorders>
              <w:top w:val="nil"/>
              <w:left w:val="nil"/>
              <w:bottom w:val="single" w:sz="4" w:space="0" w:color="auto"/>
              <w:right w:val="single" w:sz="4" w:space="0" w:color="auto"/>
            </w:tcBorders>
            <w:shd w:val="clear" w:color="auto" w:fill="auto"/>
            <w:noWrap/>
            <w:vAlign w:val="bottom"/>
            <w:hideMark/>
          </w:tcPr>
          <w:p w14:paraId="39A6095B"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06EE18EA"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24F39AE"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Biochemical parameters</w:t>
            </w:r>
          </w:p>
        </w:tc>
        <w:tc>
          <w:tcPr>
            <w:tcW w:w="2196" w:type="dxa"/>
            <w:tcBorders>
              <w:top w:val="nil"/>
              <w:left w:val="nil"/>
              <w:bottom w:val="single" w:sz="4" w:space="0" w:color="auto"/>
              <w:right w:val="single" w:sz="4" w:space="0" w:color="auto"/>
            </w:tcBorders>
            <w:shd w:val="clear" w:color="auto" w:fill="auto"/>
            <w:noWrap/>
            <w:vAlign w:val="bottom"/>
            <w:hideMark/>
          </w:tcPr>
          <w:p w14:paraId="6464B7DA" w14:textId="77777777" w:rsidR="005D4BA0" w:rsidRPr="00D85EC9" w:rsidRDefault="005D4BA0" w:rsidP="00684B43">
            <w:pPr>
              <w:jc w:val="center"/>
              <w:rPr>
                <w:rFonts w:eastAsia="Times New Roman" w:cstheme="minorHAnsi"/>
                <w:b/>
                <w:bCs/>
                <w:color w:val="000000"/>
              </w:rPr>
            </w:pPr>
            <w:r w:rsidRPr="00D85EC9">
              <w:rPr>
                <w:rFonts w:eastAsia="Times New Roman" w:cstheme="minorHAnsi"/>
                <w:b/>
                <w:bCs/>
                <w:color w:val="000000"/>
              </w:rPr>
              <w:t> </w:t>
            </w:r>
          </w:p>
        </w:tc>
      </w:tr>
      <w:tr w:rsidR="005D4BA0" w:rsidRPr="00D85EC9" w14:paraId="233D472C"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73E8001"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Urea, mmol/L </w:t>
            </w:r>
          </w:p>
        </w:tc>
        <w:tc>
          <w:tcPr>
            <w:tcW w:w="2196" w:type="dxa"/>
            <w:tcBorders>
              <w:top w:val="nil"/>
              <w:left w:val="nil"/>
              <w:bottom w:val="single" w:sz="4" w:space="0" w:color="auto"/>
              <w:right w:val="single" w:sz="4" w:space="0" w:color="auto"/>
            </w:tcBorders>
            <w:shd w:val="clear" w:color="auto" w:fill="auto"/>
            <w:noWrap/>
            <w:vAlign w:val="bottom"/>
            <w:hideMark/>
          </w:tcPr>
          <w:p w14:paraId="33C18CA4"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7.1 (5.2–7.9)</w:t>
            </w:r>
          </w:p>
        </w:tc>
      </w:tr>
      <w:tr w:rsidR="005D4BA0" w:rsidRPr="00D85EC9" w14:paraId="0BFADC9D"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00E0236D"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Creatinine, </w:t>
            </w:r>
            <w:proofErr w:type="spellStart"/>
            <w:r w:rsidRPr="00D85EC9">
              <w:rPr>
                <w:rFonts w:eastAsia="Times New Roman" w:cstheme="minorHAnsi"/>
                <w:b/>
                <w:bCs/>
                <w:color w:val="000000"/>
              </w:rPr>
              <w:t>I</w:t>
            </w:r>
            <w:r w:rsidRPr="00D85EC9">
              <w:rPr>
                <w:rFonts w:eastAsia="Times New Roman" w:cstheme="minorHAnsi"/>
                <w:color w:val="000000"/>
              </w:rPr>
              <w:t>mol</w:t>
            </w:r>
            <w:proofErr w:type="spellEnd"/>
            <w:r w:rsidRPr="00D85EC9">
              <w:rPr>
                <w:rFonts w:eastAsia="Times New Roman" w:cstheme="minorHAnsi"/>
                <w:color w:val="000000"/>
              </w:rPr>
              <w:t xml:space="preserve">/L </w:t>
            </w:r>
          </w:p>
        </w:tc>
        <w:tc>
          <w:tcPr>
            <w:tcW w:w="2196" w:type="dxa"/>
            <w:tcBorders>
              <w:top w:val="nil"/>
              <w:left w:val="nil"/>
              <w:bottom w:val="single" w:sz="4" w:space="0" w:color="auto"/>
              <w:right w:val="single" w:sz="4" w:space="0" w:color="auto"/>
            </w:tcBorders>
            <w:shd w:val="clear" w:color="auto" w:fill="auto"/>
            <w:noWrap/>
            <w:vAlign w:val="bottom"/>
            <w:hideMark/>
          </w:tcPr>
          <w:p w14:paraId="31BBC82B"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84 (76–94)</w:t>
            </w:r>
          </w:p>
        </w:tc>
      </w:tr>
      <w:tr w:rsidR="005D4BA0" w:rsidRPr="00D85EC9" w14:paraId="03D71D48"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31EE1A7C"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w:t>
            </w:r>
          </w:p>
        </w:tc>
        <w:tc>
          <w:tcPr>
            <w:tcW w:w="2196" w:type="dxa"/>
            <w:tcBorders>
              <w:top w:val="nil"/>
              <w:left w:val="nil"/>
              <w:bottom w:val="single" w:sz="4" w:space="0" w:color="auto"/>
              <w:right w:val="single" w:sz="4" w:space="0" w:color="auto"/>
            </w:tcBorders>
            <w:shd w:val="clear" w:color="auto" w:fill="auto"/>
            <w:noWrap/>
            <w:vAlign w:val="bottom"/>
            <w:hideMark/>
          </w:tcPr>
          <w:p w14:paraId="167AE605"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070ADDEA"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6E8B0B9D"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NYHA functional class</w:t>
            </w:r>
          </w:p>
        </w:tc>
        <w:tc>
          <w:tcPr>
            <w:tcW w:w="2196" w:type="dxa"/>
            <w:tcBorders>
              <w:top w:val="nil"/>
              <w:left w:val="nil"/>
              <w:bottom w:val="single" w:sz="4" w:space="0" w:color="auto"/>
              <w:right w:val="single" w:sz="4" w:space="0" w:color="auto"/>
            </w:tcBorders>
            <w:shd w:val="clear" w:color="auto" w:fill="auto"/>
            <w:noWrap/>
            <w:vAlign w:val="bottom"/>
            <w:hideMark/>
          </w:tcPr>
          <w:p w14:paraId="67496DE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048EEA91"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46F0120E"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I </w:t>
            </w:r>
          </w:p>
        </w:tc>
        <w:tc>
          <w:tcPr>
            <w:tcW w:w="2196" w:type="dxa"/>
            <w:tcBorders>
              <w:top w:val="nil"/>
              <w:left w:val="nil"/>
              <w:bottom w:val="single" w:sz="4" w:space="0" w:color="auto"/>
              <w:right w:val="single" w:sz="4" w:space="0" w:color="auto"/>
            </w:tcBorders>
            <w:shd w:val="clear" w:color="auto" w:fill="auto"/>
            <w:noWrap/>
            <w:vAlign w:val="bottom"/>
            <w:hideMark/>
          </w:tcPr>
          <w:p w14:paraId="02F177D5"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3 (6%)</w:t>
            </w:r>
          </w:p>
        </w:tc>
      </w:tr>
      <w:tr w:rsidR="005D4BA0" w:rsidRPr="00D85EC9" w14:paraId="3D978E74"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9C97B6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II</w:t>
            </w:r>
          </w:p>
        </w:tc>
        <w:tc>
          <w:tcPr>
            <w:tcW w:w="2196" w:type="dxa"/>
            <w:tcBorders>
              <w:top w:val="nil"/>
              <w:left w:val="nil"/>
              <w:bottom w:val="single" w:sz="4" w:space="0" w:color="auto"/>
              <w:right w:val="single" w:sz="4" w:space="0" w:color="auto"/>
            </w:tcBorders>
            <w:shd w:val="clear" w:color="auto" w:fill="auto"/>
            <w:noWrap/>
            <w:vAlign w:val="bottom"/>
            <w:hideMark/>
          </w:tcPr>
          <w:p w14:paraId="418F9D6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20 (37%)</w:t>
            </w:r>
          </w:p>
        </w:tc>
      </w:tr>
      <w:tr w:rsidR="005D4BA0" w:rsidRPr="00D85EC9" w14:paraId="3CC07EA4"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A40DDE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III</w:t>
            </w:r>
          </w:p>
        </w:tc>
        <w:tc>
          <w:tcPr>
            <w:tcW w:w="2196" w:type="dxa"/>
            <w:tcBorders>
              <w:top w:val="nil"/>
              <w:left w:val="nil"/>
              <w:bottom w:val="single" w:sz="4" w:space="0" w:color="auto"/>
              <w:right w:val="single" w:sz="4" w:space="0" w:color="auto"/>
            </w:tcBorders>
            <w:shd w:val="clear" w:color="auto" w:fill="auto"/>
            <w:noWrap/>
            <w:vAlign w:val="bottom"/>
            <w:hideMark/>
          </w:tcPr>
          <w:p w14:paraId="258D674B"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28 (51%)</w:t>
            </w:r>
          </w:p>
        </w:tc>
      </w:tr>
      <w:tr w:rsidR="005D4BA0" w:rsidRPr="00D85EC9" w14:paraId="13FC8CB5"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3FC71D9D"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IV</w:t>
            </w:r>
          </w:p>
        </w:tc>
        <w:tc>
          <w:tcPr>
            <w:tcW w:w="2196" w:type="dxa"/>
            <w:tcBorders>
              <w:top w:val="nil"/>
              <w:left w:val="nil"/>
              <w:bottom w:val="single" w:sz="4" w:space="0" w:color="auto"/>
              <w:right w:val="single" w:sz="4" w:space="0" w:color="auto"/>
            </w:tcBorders>
            <w:shd w:val="clear" w:color="auto" w:fill="auto"/>
            <w:noWrap/>
            <w:vAlign w:val="bottom"/>
            <w:hideMark/>
          </w:tcPr>
          <w:p w14:paraId="54C7E72D"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3 (6%)</w:t>
            </w:r>
          </w:p>
        </w:tc>
      </w:tr>
      <w:tr w:rsidR="005D4BA0" w:rsidRPr="00D85EC9" w14:paraId="0405154B"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5AAEA9AF" w14:textId="77777777" w:rsidR="005D4BA0" w:rsidRPr="00D85EC9" w:rsidRDefault="005D4BA0" w:rsidP="00684B43">
            <w:pPr>
              <w:rPr>
                <w:rFonts w:eastAsia="Times New Roman" w:cstheme="minorHAnsi"/>
                <w:color w:val="000000"/>
              </w:rPr>
            </w:pPr>
            <w:r w:rsidRPr="00D85EC9">
              <w:rPr>
                <w:rFonts w:eastAsia="Times New Roman" w:cstheme="minorHAnsi"/>
                <w:color w:val="000000"/>
              </w:rPr>
              <w:t> </w:t>
            </w:r>
          </w:p>
        </w:tc>
        <w:tc>
          <w:tcPr>
            <w:tcW w:w="2196" w:type="dxa"/>
            <w:tcBorders>
              <w:top w:val="nil"/>
              <w:left w:val="nil"/>
              <w:bottom w:val="single" w:sz="4" w:space="0" w:color="auto"/>
              <w:right w:val="single" w:sz="4" w:space="0" w:color="auto"/>
            </w:tcBorders>
            <w:shd w:val="clear" w:color="auto" w:fill="auto"/>
            <w:noWrap/>
            <w:vAlign w:val="bottom"/>
            <w:hideMark/>
          </w:tcPr>
          <w:p w14:paraId="79B085A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2F949571"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520E90D2"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Drug treatment</w:t>
            </w:r>
          </w:p>
        </w:tc>
        <w:tc>
          <w:tcPr>
            <w:tcW w:w="2196" w:type="dxa"/>
            <w:tcBorders>
              <w:top w:val="nil"/>
              <w:left w:val="nil"/>
              <w:bottom w:val="single" w:sz="4" w:space="0" w:color="auto"/>
              <w:right w:val="single" w:sz="4" w:space="0" w:color="auto"/>
            </w:tcBorders>
            <w:shd w:val="clear" w:color="auto" w:fill="auto"/>
            <w:noWrap/>
            <w:vAlign w:val="bottom"/>
            <w:hideMark/>
          </w:tcPr>
          <w:p w14:paraId="13D6B96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27CF9679"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235D9C7"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ACEI or ARB</w:t>
            </w:r>
          </w:p>
        </w:tc>
        <w:tc>
          <w:tcPr>
            <w:tcW w:w="2196" w:type="dxa"/>
            <w:tcBorders>
              <w:top w:val="nil"/>
              <w:left w:val="nil"/>
              <w:bottom w:val="single" w:sz="4" w:space="0" w:color="auto"/>
              <w:right w:val="single" w:sz="4" w:space="0" w:color="auto"/>
            </w:tcBorders>
            <w:shd w:val="clear" w:color="auto" w:fill="auto"/>
            <w:noWrap/>
            <w:vAlign w:val="bottom"/>
            <w:hideMark/>
          </w:tcPr>
          <w:p w14:paraId="16F09D4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52 (96%)</w:t>
            </w:r>
          </w:p>
        </w:tc>
      </w:tr>
      <w:tr w:rsidR="005D4BA0" w:rsidRPr="00D85EC9" w14:paraId="436B0C67"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61CC715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Beta-Blocker </w:t>
            </w:r>
          </w:p>
        </w:tc>
        <w:tc>
          <w:tcPr>
            <w:tcW w:w="2196" w:type="dxa"/>
            <w:tcBorders>
              <w:top w:val="nil"/>
              <w:left w:val="nil"/>
              <w:bottom w:val="single" w:sz="4" w:space="0" w:color="auto"/>
              <w:right w:val="single" w:sz="4" w:space="0" w:color="auto"/>
            </w:tcBorders>
            <w:shd w:val="clear" w:color="auto" w:fill="auto"/>
            <w:noWrap/>
            <w:vAlign w:val="bottom"/>
            <w:hideMark/>
          </w:tcPr>
          <w:p w14:paraId="7B248764"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48 (89%)</w:t>
            </w:r>
          </w:p>
        </w:tc>
      </w:tr>
      <w:tr w:rsidR="005D4BA0" w:rsidRPr="00D85EC9" w14:paraId="309EFE96"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7CC795AB"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Aldosterone antagonist </w:t>
            </w:r>
          </w:p>
        </w:tc>
        <w:tc>
          <w:tcPr>
            <w:tcW w:w="2196" w:type="dxa"/>
            <w:tcBorders>
              <w:top w:val="nil"/>
              <w:left w:val="nil"/>
              <w:bottom w:val="single" w:sz="4" w:space="0" w:color="auto"/>
              <w:right w:val="single" w:sz="4" w:space="0" w:color="auto"/>
            </w:tcBorders>
            <w:shd w:val="clear" w:color="auto" w:fill="auto"/>
            <w:noWrap/>
            <w:vAlign w:val="bottom"/>
            <w:hideMark/>
          </w:tcPr>
          <w:p w14:paraId="0FC5C18D"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35 (65%)</w:t>
            </w:r>
          </w:p>
        </w:tc>
      </w:tr>
      <w:tr w:rsidR="005D4BA0" w:rsidRPr="00D85EC9" w14:paraId="47EAAEF9"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5E999B7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Loop diuretic</w:t>
            </w:r>
          </w:p>
        </w:tc>
        <w:tc>
          <w:tcPr>
            <w:tcW w:w="2196" w:type="dxa"/>
            <w:tcBorders>
              <w:top w:val="nil"/>
              <w:left w:val="nil"/>
              <w:bottom w:val="single" w:sz="4" w:space="0" w:color="auto"/>
              <w:right w:val="single" w:sz="4" w:space="0" w:color="auto"/>
            </w:tcBorders>
            <w:shd w:val="clear" w:color="auto" w:fill="auto"/>
            <w:noWrap/>
            <w:vAlign w:val="bottom"/>
            <w:hideMark/>
          </w:tcPr>
          <w:p w14:paraId="45ED9E9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28 (52%)</w:t>
            </w:r>
          </w:p>
        </w:tc>
      </w:tr>
      <w:tr w:rsidR="005D4BA0" w:rsidRPr="00D85EC9" w14:paraId="77AA2D4A"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11475A4E"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Amiodarone</w:t>
            </w:r>
          </w:p>
        </w:tc>
        <w:tc>
          <w:tcPr>
            <w:tcW w:w="2196" w:type="dxa"/>
            <w:tcBorders>
              <w:top w:val="nil"/>
              <w:left w:val="nil"/>
              <w:bottom w:val="single" w:sz="4" w:space="0" w:color="auto"/>
              <w:right w:val="single" w:sz="4" w:space="0" w:color="auto"/>
            </w:tcBorders>
            <w:shd w:val="clear" w:color="auto" w:fill="auto"/>
            <w:noWrap/>
            <w:vAlign w:val="bottom"/>
            <w:hideMark/>
          </w:tcPr>
          <w:p w14:paraId="79601FA0"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11 (20%)</w:t>
            </w:r>
          </w:p>
        </w:tc>
      </w:tr>
      <w:tr w:rsidR="005D4BA0" w:rsidRPr="00D85EC9" w14:paraId="55244C9C"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56986CF0"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Anticoagulation</w:t>
            </w:r>
          </w:p>
        </w:tc>
        <w:tc>
          <w:tcPr>
            <w:tcW w:w="2196" w:type="dxa"/>
            <w:tcBorders>
              <w:top w:val="nil"/>
              <w:left w:val="nil"/>
              <w:bottom w:val="single" w:sz="4" w:space="0" w:color="auto"/>
              <w:right w:val="single" w:sz="4" w:space="0" w:color="auto"/>
            </w:tcBorders>
            <w:shd w:val="clear" w:color="auto" w:fill="auto"/>
            <w:noWrap/>
            <w:vAlign w:val="bottom"/>
            <w:hideMark/>
          </w:tcPr>
          <w:p w14:paraId="3098132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36 (67%)</w:t>
            </w:r>
          </w:p>
        </w:tc>
      </w:tr>
      <w:tr w:rsidR="005D4BA0" w:rsidRPr="00D85EC9" w14:paraId="6599BED1" w14:textId="77777777" w:rsidTr="00684B43">
        <w:trPr>
          <w:trHeight w:val="292"/>
        </w:trPr>
        <w:tc>
          <w:tcPr>
            <w:tcW w:w="6262" w:type="dxa"/>
            <w:tcBorders>
              <w:top w:val="nil"/>
              <w:left w:val="single" w:sz="4" w:space="0" w:color="auto"/>
              <w:bottom w:val="single" w:sz="4" w:space="0" w:color="auto"/>
              <w:right w:val="single" w:sz="4" w:space="0" w:color="auto"/>
            </w:tcBorders>
            <w:shd w:val="clear" w:color="auto" w:fill="auto"/>
            <w:noWrap/>
            <w:vAlign w:val="bottom"/>
            <w:hideMark/>
          </w:tcPr>
          <w:p w14:paraId="6C9BDD67"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Digoxin</w:t>
            </w:r>
          </w:p>
        </w:tc>
        <w:tc>
          <w:tcPr>
            <w:tcW w:w="2196" w:type="dxa"/>
            <w:tcBorders>
              <w:top w:val="nil"/>
              <w:left w:val="nil"/>
              <w:bottom w:val="single" w:sz="4" w:space="0" w:color="auto"/>
              <w:right w:val="single" w:sz="4" w:space="0" w:color="auto"/>
            </w:tcBorders>
            <w:shd w:val="clear" w:color="auto" w:fill="auto"/>
            <w:noWrap/>
            <w:vAlign w:val="bottom"/>
            <w:hideMark/>
          </w:tcPr>
          <w:p w14:paraId="3289A55D"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5 (9%)</w:t>
            </w:r>
          </w:p>
        </w:tc>
      </w:tr>
    </w:tbl>
    <w:p w14:paraId="563A568E" w14:textId="77777777" w:rsidR="005D4BA0" w:rsidRPr="00D85EC9" w:rsidRDefault="005D4BA0" w:rsidP="005D4BA0">
      <w:pPr>
        <w:rPr>
          <w:rFonts w:eastAsia="Calibri" w:cstheme="minorHAnsi"/>
          <w:shd w:val="clear" w:color="auto" w:fill="FFFFFF"/>
        </w:rPr>
      </w:pPr>
    </w:p>
    <w:p w14:paraId="17175E61" w14:textId="77777777" w:rsidR="005D4BA0" w:rsidRPr="00D85EC9" w:rsidRDefault="005D4BA0" w:rsidP="005D4BA0">
      <w:pPr>
        <w:rPr>
          <w:rFonts w:eastAsia="Calibri" w:cstheme="minorHAnsi"/>
          <w:shd w:val="clear" w:color="auto" w:fill="FFFFFF"/>
        </w:rPr>
      </w:pPr>
      <w:r w:rsidRPr="00D85EC9">
        <w:rPr>
          <w:rFonts w:eastAsia="Calibri" w:cstheme="minorHAnsi"/>
          <w:shd w:val="clear" w:color="auto" w:fill="FFFFFF"/>
        </w:rPr>
        <w:t>The majority of patients were in sinus rhythm (81%) with the remainder in permanent atrial fibrillation which effected pacing modality (VVIR/DDIR in 15%).  As expected, the majority of ACHD patients had a non-LBBB QRS morphology (72%).  See table below.</w:t>
      </w:r>
    </w:p>
    <w:p w14:paraId="768C6C14" w14:textId="77777777" w:rsidR="005D4BA0" w:rsidRPr="00D85EC9" w:rsidRDefault="005D4BA0" w:rsidP="005D4BA0">
      <w:pPr>
        <w:rPr>
          <w:rFonts w:eastAsia="Calibri" w:cstheme="minorHAnsi"/>
          <w:shd w:val="clear" w:color="auto" w:fill="FFFFFF"/>
        </w:rPr>
      </w:pPr>
    </w:p>
    <w:tbl>
      <w:tblPr>
        <w:tblW w:w="6700" w:type="dxa"/>
        <w:tblLook w:val="04A0" w:firstRow="1" w:lastRow="0" w:firstColumn="1" w:lastColumn="0" w:noHBand="0" w:noVBand="1"/>
      </w:tblPr>
      <w:tblGrid>
        <w:gridCol w:w="4960"/>
        <w:gridCol w:w="1740"/>
      </w:tblGrid>
      <w:tr w:rsidR="005D4BA0" w:rsidRPr="00D85EC9" w14:paraId="61252A64" w14:textId="77777777" w:rsidTr="00684B43">
        <w:trPr>
          <w:trHeight w:val="32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B27FE"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ECG</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20D9DDF8"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0C9306CC"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69D81A1D"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Sinus rhythm</w:t>
            </w:r>
          </w:p>
        </w:tc>
        <w:tc>
          <w:tcPr>
            <w:tcW w:w="1740" w:type="dxa"/>
            <w:tcBorders>
              <w:top w:val="nil"/>
              <w:left w:val="nil"/>
              <w:bottom w:val="single" w:sz="4" w:space="0" w:color="auto"/>
              <w:right w:val="single" w:sz="4" w:space="0" w:color="auto"/>
            </w:tcBorders>
            <w:shd w:val="clear" w:color="auto" w:fill="auto"/>
            <w:noWrap/>
            <w:vAlign w:val="bottom"/>
            <w:hideMark/>
          </w:tcPr>
          <w:p w14:paraId="226EB7E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44 (81%)</w:t>
            </w:r>
          </w:p>
        </w:tc>
      </w:tr>
      <w:tr w:rsidR="005D4BA0" w:rsidRPr="00D85EC9" w14:paraId="3EC6B475"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F7871B5"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Atrial fibrillation </w:t>
            </w:r>
          </w:p>
        </w:tc>
        <w:tc>
          <w:tcPr>
            <w:tcW w:w="1740" w:type="dxa"/>
            <w:tcBorders>
              <w:top w:val="nil"/>
              <w:left w:val="nil"/>
              <w:bottom w:val="single" w:sz="4" w:space="0" w:color="auto"/>
              <w:right w:val="single" w:sz="4" w:space="0" w:color="auto"/>
            </w:tcBorders>
            <w:shd w:val="clear" w:color="auto" w:fill="auto"/>
            <w:noWrap/>
            <w:vAlign w:val="bottom"/>
            <w:hideMark/>
          </w:tcPr>
          <w:p w14:paraId="4AAF3666"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10 (19%)</w:t>
            </w:r>
          </w:p>
        </w:tc>
      </w:tr>
      <w:tr w:rsidR="005D4BA0" w:rsidRPr="00D85EC9" w14:paraId="6C04E669"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6805B85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QRS duration, </w:t>
            </w:r>
            <w:proofErr w:type="spellStart"/>
            <w:r w:rsidRPr="00D85EC9">
              <w:rPr>
                <w:rFonts w:eastAsia="Times New Roman" w:cstheme="minorHAnsi"/>
                <w:color w:val="000000"/>
              </w:rPr>
              <w:t>ms</w:t>
            </w:r>
            <w:proofErr w:type="spellEnd"/>
            <w:r w:rsidRPr="00D85EC9">
              <w:rPr>
                <w:rFonts w:eastAsia="Times New Roman" w:cstheme="minorHAns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3E7D67D3"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174 ± 27</w:t>
            </w:r>
          </w:p>
        </w:tc>
      </w:tr>
      <w:tr w:rsidR="005D4BA0" w:rsidRPr="00D85EC9" w14:paraId="2D7D34D7"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3084568"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3F5B529D"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1063BCF2"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3760F3D9"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QRS morphological characteristics</w:t>
            </w:r>
          </w:p>
        </w:tc>
        <w:tc>
          <w:tcPr>
            <w:tcW w:w="1740" w:type="dxa"/>
            <w:tcBorders>
              <w:top w:val="nil"/>
              <w:left w:val="nil"/>
              <w:bottom w:val="single" w:sz="4" w:space="0" w:color="auto"/>
              <w:right w:val="single" w:sz="4" w:space="0" w:color="auto"/>
            </w:tcBorders>
            <w:shd w:val="clear" w:color="auto" w:fill="auto"/>
            <w:noWrap/>
            <w:vAlign w:val="bottom"/>
            <w:hideMark/>
          </w:tcPr>
          <w:p w14:paraId="1D779A36"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080A0CAB"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5D5453A6"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LBBB</w:t>
            </w:r>
          </w:p>
        </w:tc>
        <w:tc>
          <w:tcPr>
            <w:tcW w:w="1740" w:type="dxa"/>
            <w:tcBorders>
              <w:top w:val="nil"/>
              <w:left w:val="nil"/>
              <w:bottom w:val="single" w:sz="4" w:space="0" w:color="auto"/>
              <w:right w:val="single" w:sz="4" w:space="0" w:color="auto"/>
            </w:tcBorders>
            <w:shd w:val="clear" w:color="auto" w:fill="auto"/>
            <w:noWrap/>
            <w:vAlign w:val="bottom"/>
            <w:hideMark/>
          </w:tcPr>
          <w:p w14:paraId="0719E8F1"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15 (28%)</w:t>
            </w:r>
          </w:p>
        </w:tc>
      </w:tr>
      <w:tr w:rsidR="005D4BA0" w:rsidRPr="00D85EC9" w14:paraId="36827F48"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0494A88F"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Non-LBBB </w:t>
            </w:r>
          </w:p>
        </w:tc>
        <w:tc>
          <w:tcPr>
            <w:tcW w:w="1740" w:type="dxa"/>
            <w:tcBorders>
              <w:top w:val="nil"/>
              <w:left w:val="nil"/>
              <w:bottom w:val="single" w:sz="4" w:space="0" w:color="auto"/>
              <w:right w:val="single" w:sz="4" w:space="0" w:color="auto"/>
            </w:tcBorders>
            <w:shd w:val="clear" w:color="auto" w:fill="auto"/>
            <w:noWrap/>
            <w:vAlign w:val="bottom"/>
            <w:hideMark/>
          </w:tcPr>
          <w:p w14:paraId="56131E69"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39 (72%)</w:t>
            </w:r>
          </w:p>
        </w:tc>
      </w:tr>
    </w:tbl>
    <w:p w14:paraId="4759BE87" w14:textId="77777777" w:rsidR="005D4BA0" w:rsidRPr="00D85EC9" w:rsidRDefault="005D4BA0" w:rsidP="005D4BA0">
      <w:pPr>
        <w:rPr>
          <w:rFonts w:eastAsia="Calibri" w:cstheme="minorHAnsi"/>
          <w:shd w:val="clear" w:color="auto" w:fill="FFFFFF"/>
        </w:rPr>
      </w:pPr>
    </w:p>
    <w:p w14:paraId="69685071" w14:textId="7C8864DC" w:rsidR="005D4BA0" w:rsidRPr="00D85EC9" w:rsidRDefault="005D4BA0" w:rsidP="005D4BA0">
      <w:pPr>
        <w:rPr>
          <w:rFonts w:eastAsia="Calibri" w:cstheme="minorHAnsi"/>
          <w:shd w:val="clear" w:color="auto" w:fill="FFFFFF"/>
        </w:rPr>
      </w:pPr>
      <w:r w:rsidRPr="00D85EC9">
        <w:rPr>
          <w:rFonts w:eastAsia="Calibri" w:cstheme="minorHAnsi"/>
          <w:shd w:val="clear" w:color="auto" w:fill="FFFFFF"/>
        </w:rPr>
        <w:t xml:space="preserve">Retrospective review of device indications for CRT based on the </w:t>
      </w:r>
      <w:r w:rsidRPr="00D85EC9">
        <w:rPr>
          <w:rFonts w:cstheme="minorHAnsi"/>
          <w:bCs/>
          <w:color w:val="000000"/>
          <w:shd w:val="clear" w:color="auto" w:fill="FFFFFF"/>
        </w:rPr>
        <w:t>2014 PACES/HRS Expert Consensus Statement on the Recognition and Management of Arrhythmias in Adult Congenital Heart Disease</w:t>
      </w:r>
      <w:r w:rsidRPr="00D85EC9">
        <w:rPr>
          <w:rFonts w:cstheme="minorHAnsi"/>
        </w:rPr>
        <w:t xml:space="preserve"> </w:t>
      </w:r>
      <w:r w:rsidRPr="00D85EC9">
        <w:rPr>
          <w:rFonts w:eastAsia="Calibri" w:cstheme="minorHAnsi"/>
          <w:shd w:val="clear" w:color="auto" w:fill="FFFFFF"/>
        </w:rPr>
        <w:t>showed the majority met criteria. 44 (81%) had systemic dysfunction (</w:t>
      </w:r>
      <w:r w:rsidRPr="00D85EC9">
        <w:rPr>
          <w:rFonts w:cstheme="minorHAnsi"/>
        </w:rPr>
        <w:t xml:space="preserve">LVEF/RVFAC </w:t>
      </w:r>
      <w:r w:rsidRPr="00D85EC9">
        <w:rPr>
          <w:rFonts w:cstheme="minorHAnsi"/>
          <w:b/>
          <w:bCs/>
        </w:rPr>
        <w:t>≤</w:t>
      </w:r>
      <w:r w:rsidRPr="00D85EC9">
        <w:rPr>
          <w:rFonts w:cstheme="minorHAnsi"/>
        </w:rPr>
        <w:t xml:space="preserve"> 35%), clinical heart failure (NYHA Class II-IV), and electrical dyssynchrony (QRS </w:t>
      </w:r>
      <w:r w:rsidRPr="00D85EC9">
        <w:rPr>
          <w:rFonts w:cstheme="minorHAnsi"/>
          <w:b/>
          <w:bCs/>
        </w:rPr>
        <w:t>≥</w:t>
      </w:r>
      <w:r w:rsidRPr="00D85EC9">
        <w:rPr>
          <w:rFonts w:cstheme="minorHAnsi"/>
        </w:rPr>
        <w:t xml:space="preserve"> 120 </w:t>
      </w:r>
      <w:proofErr w:type="spellStart"/>
      <w:r w:rsidRPr="00D85EC9">
        <w:rPr>
          <w:rFonts w:cstheme="minorHAnsi"/>
        </w:rPr>
        <w:t>msec</w:t>
      </w:r>
      <w:proofErr w:type="spellEnd"/>
      <w:r w:rsidRPr="00D85EC9">
        <w:rPr>
          <w:rFonts w:cstheme="minorHAnsi"/>
        </w:rPr>
        <w:t xml:space="preserve">).   There were 8 (15%) patients who has &gt;40% pacing (5 with systemic LVEF &gt; 35% and 3 with NYHA Class I). There were 2 (4%) patients who had systemic LVEF </w:t>
      </w:r>
      <w:r w:rsidRPr="00D85EC9">
        <w:rPr>
          <w:rFonts w:cstheme="minorHAnsi"/>
          <w:b/>
          <w:bCs/>
        </w:rPr>
        <w:t>&gt;</w:t>
      </w:r>
      <w:r w:rsidRPr="00D85EC9">
        <w:rPr>
          <w:rFonts w:cstheme="minorHAnsi"/>
        </w:rPr>
        <w:t xml:space="preserve"> 35% and broadening QRS duration.</w:t>
      </w:r>
      <w:r w:rsidRPr="00D85EC9">
        <w:rPr>
          <w:rFonts w:eastAsia="Calibri" w:cstheme="minorHAnsi"/>
          <w:shd w:val="clear" w:color="auto" w:fill="FFFFFF"/>
        </w:rPr>
        <w:t xml:space="preserve"> </w:t>
      </w:r>
    </w:p>
    <w:p w14:paraId="61E2EFAB" w14:textId="77777777" w:rsidR="005D4BA0" w:rsidRPr="00D85EC9" w:rsidRDefault="005D4BA0" w:rsidP="005D4BA0">
      <w:pPr>
        <w:rPr>
          <w:rFonts w:eastAsia="Calibri" w:cstheme="minorHAnsi"/>
          <w:shd w:val="clear" w:color="auto" w:fill="FFFFFF"/>
        </w:rPr>
      </w:pPr>
      <w:r w:rsidRPr="00D85EC9">
        <w:rPr>
          <w:rFonts w:eastAsia="Calibri" w:cstheme="minorHAnsi"/>
          <w:shd w:val="clear" w:color="auto" w:fill="FFFFFF"/>
        </w:rPr>
        <w:t xml:space="preserve">Device implantation occurred due to high grade heart block in 61%.  The majority of patients had an existing device (57%).  A CRT-D was implanted in 85% and CRT-P in 15%. See figure below. </w:t>
      </w:r>
    </w:p>
    <w:p w14:paraId="5A114D2F" w14:textId="77777777" w:rsidR="005D4BA0" w:rsidRPr="00D85EC9" w:rsidRDefault="005D4BA0" w:rsidP="005D4BA0">
      <w:pPr>
        <w:autoSpaceDE w:val="0"/>
        <w:autoSpaceDN w:val="0"/>
        <w:adjustRightInd w:val="0"/>
        <w:rPr>
          <w:rFonts w:eastAsia="Calibri" w:cstheme="minorHAnsi"/>
          <w:shd w:val="clear" w:color="auto" w:fill="FFFFFF"/>
        </w:rPr>
      </w:pPr>
    </w:p>
    <w:tbl>
      <w:tblPr>
        <w:tblW w:w="6700" w:type="dxa"/>
        <w:tblLook w:val="04A0" w:firstRow="1" w:lastRow="0" w:firstColumn="1" w:lastColumn="0" w:noHBand="0" w:noVBand="1"/>
      </w:tblPr>
      <w:tblGrid>
        <w:gridCol w:w="4960"/>
        <w:gridCol w:w="1740"/>
      </w:tblGrid>
      <w:tr w:rsidR="005D4BA0" w:rsidRPr="00D85EC9" w14:paraId="1D4ADD04" w14:textId="77777777" w:rsidTr="00684B43">
        <w:trPr>
          <w:trHeight w:val="32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EAA6"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Device implantation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798D5B1"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7B17ACBB"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5C0DA3A4"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Permanent Pacemaker/ICD upgrade to CRT </w:t>
            </w:r>
          </w:p>
        </w:tc>
        <w:tc>
          <w:tcPr>
            <w:tcW w:w="1740" w:type="dxa"/>
            <w:tcBorders>
              <w:top w:val="nil"/>
              <w:left w:val="nil"/>
              <w:bottom w:val="single" w:sz="4" w:space="0" w:color="auto"/>
              <w:right w:val="single" w:sz="4" w:space="0" w:color="auto"/>
            </w:tcBorders>
            <w:shd w:val="clear" w:color="auto" w:fill="auto"/>
            <w:noWrap/>
            <w:vAlign w:val="bottom"/>
            <w:hideMark/>
          </w:tcPr>
          <w:p w14:paraId="124BA578"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31 (57%)</w:t>
            </w:r>
          </w:p>
        </w:tc>
      </w:tr>
      <w:tr w:rsidR="005D4BA0" w:rsidRPr="00D85EC9" w14:paraId="26EB3E17"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tcPr>
          <w:p w14:paraId="564A6E5B"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   Permanent Pacemaker</w:t>
            </w:r>
          </w:p>
        </w:tc>
        <w:tc>
          <w:tcPr>
            <w:tcW w:w="1740" w:type="dxa"/>
            <w:tcBorders>
              <w:top w:val="nil"/>
              <w:left w:val="nil"/>
              <w:bottom w:val="single" w:sz="4" w:space="0" w:color="auto"/>
              <w:right w:val="single" w:sz="4" w:space="0" w:color="auto"/>
            </w:tcBorders>
            <w:shd w:val="clear" w:color="auto" w:fill="auto"/>
            <w:noWrap/>
            <w:vAlign w:val="bottom"/>
          </w:tcPr>
          <w:p w14:paraId="00786C9C"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21</w:t>
            </w:r>
          </w:p>
        </w:tc>
      </w:tr>
      <w:tr w:rsidR="005D4BA0" w:rsidRPr="00D85EC9" w14:paraId="2D9737A0"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tcPr>
          <w:p w14:paraId="29B9D2A6"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   ICD</w:t>
            </w:r>
          </w:p>
        </w:tc>
        <w:tc>
          <w:tcPr>
            <w:tcW w:w="1740" w:type="dxa"/>
            <w:tcBorders>
              <w:top w:val="nil"/>
              <w:left w:val="nil"/>
              <w:bottom w:val="single" w:sz="4" w:space="0" w:color="auto"/>
              <w:right w:val="single" w:sz="4" w:space="0" w:color="auto"/>
            </w:tcBorders>
            <w:shd w:val="clear" w:color="auto" w:fill="auto"/>
            <w:noWrap/>
            <w:vAlign w:val="bottom"/>
          </w:tcPr>
          <w:p w14:paraId="58D2E48F"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10</w:t>
            </w:r>
          </w:p>
        </w:tc>
      </w:tr>
      <w:tr w:rsidR="005D4BA0" w:rsidRPr="00D85EC9" w14:paraId="67B62ED1"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D3DC60D"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CRT de novo </w:t>
            </w:r>
          </w:p>
        </w:tc>
        <w:tc>
          <w:tcPr>
            <w:tcW w:w="1740" w:type="dxa"/>
            <w:tcBorders>
              <w:top w:val="nil"/>
              <w:left w:val="nil"/>
              <w:bottom w:val="single" w:sz="4" w:space="0" w:color="auto"/>
              <w:right w:val="single" w:sz="4" w:space="0" w:color="auto"/>
            </w:tcBorders>
            <w:shd w:val="clear" w:color="auto" w:fill="auto"/>
            <w:noWrap/>
            <w:vAlign w:val="bottom"/>
            <w:hideMark/>
          </w:tcPr>
          <w:p w14:paraId="65E39ACA"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23 (43%)</w:t>
            </w:r>
          </w:p>
        </w:tc>
      </w:tr>
      <w:tr w:rsidR="005D4BA0" w:rsidRPr="00D85EC9" w14:paraId="0EEAD9CF"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532EF64B"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CRT-D </w:t>
            </w:r>
          </w:p>
        </w:tc>
        <w:tc>
          <w:tcPr>
            <w:tcW w:w="1740" w:type="dxa"/>
            <w:tcBorders>
              <w:top w:val="nil"/>
              <w:left w:val="nil"/>
              <w:bottom w:val="single" w:sz="4" w:space="0" w:color="auto"/>
              <w:right w:val="single" w:sz="4" w:space="0" w:color="auto"/>
            </w:tcBorders>
            <w:shd w:val="clear" w:color="auto" w:fill="auto"/>
            <w:noWrap/>
            <w:vAlign w:val="bottom"/>
            <w:hideMark/>
          </w:tcPr>
          <w:p w14:paraId="4BAB8A70"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46 (85%)</w:t>
            </w:r>
          </w:p>
        </w:tc>
      </w:tr>
      <w:tr w:rsidR="005D4BA0" w:rsidRPr="00D85EC9" w14:paraId="023A83D4" w14:textId="77777777" w:rsidTr="00684B43">
        <w:trPr>
          <w:trHeight w:val="32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62B29BFC"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CRT-P</w:t>
            </w:r>
          </w:p>
        </w:tc>
        <w:tc>
          <w:tcPr>
            <w:tcW w:w="1740" w:type="dxa"/>
            <w:tcBorders>
              <w:top w:val="nil"/>
              <w:left w:val="nil"/>
              <w:bottom w:val="single" w:sz="4" w:space="0" w:color="auto"/>
              <w:right w:val="single" w:sz="4" w:space="0" w:color="auto"/>
            </w:tcBorders>
            <w:shd w:val="clear" w:color="auto" w:fill="auto"/>
            <w:noWrap/>
            <w:vAlign w:val="bottom"/>
            <w:hideMark/>
          </w:tcPr>
          <w:p w14:paraId="7916FED1"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8 (15%)</w:t>
            </w:r>
          </w:p>
        </w:tc>
      </w:tr>
    </w:tbl>
    <w:p w14:paraId="19DFFEB6" w14:textId="77777777" w:rsidR="005D4BA0" w:rsidRPr="00D85EC9" w:rsidRDefault="005D4BA0" w:rsidP="005D4BA0">
      <w:pPr>
        <w:rPr>
          <w:rFonts w:eastAsia="Calibri" w:cstheme="minorHAnsi"/>
          <w:shd w:val="clear" w:color="auto" w:fill="FFFFFF"/>
        </w:rPr>
      </w:pPr>
    </w:p>
    <w:p w14:paraId="19962C4D" w14:textId="35D702B8" w:rsidR="005D4BA0" w:rsidRPr="00D85EC9" w:rsidRDefault="005D4BA0" w:rsidP="00B53A6D">
      <w:pPr>
        <w:autoSpaceDE w:val="0"/>
        <w:autoSpaceDN w:val="0"/>
        <w:adjustRightInd w:val="0"/>
        <w:rPr>
          <w:rFonts w:eastAsia="Calibri" w:cstheme="minorHAnsi"/>
          <w:shd w:val="clear" w:color="auto" w:fill="FFFFFF"/>
        </w:rPr>
      </w:pPr>
      <w:r w:rsidRPr="00D85EC9">
        <w:rPr>
          <w:rFonts w:eastAsia="Calibri" w:cstheme="minorHAnsi"/>
          <w:shd w:val="clear" w:color="auto" w:fill="FFFFFF"/>
        </w:rPr>
        <w:lastRenderedPageBreak/>
        <w:t xml:space="preserve">Implantation approach varied based on congenital heart lesion.  </w:t>
      </w:r>
      <w:r w:rsidRPr="00D85EC9">
        <w:rPr>
          <w:rFonts w:cstheme="minorHAnsi"/>
        </w:rPr>
        <w:t xml:space="preserve">96% had a standard CRT approach with leads placed in the right atrium, non-systemic ventricle, and systemic ventricle via coronary sinus branch.  4% had an epicardial or hybrid approach. </w:t>
      </w:r>
    </w:p>
    <w:p w14:paraId="56F13058" w14:textId="181AF26D" w:rsidR="005D4BA0" w:rsidRPr="00D85EC9" w:rsidRDefault="005D4BA0" w:rsidP="005D4BA0">
      <w:pPr>
        <w:autoSpaceDE w:val="0"/>
        <w:autoSpaceDN w:val="0"/>
        <w:adjustRightInd w:val="0"/>
        <w:rPr>
          <w:rFonts w:cstheme="minorHAnsi"/>
        </w:rPr>
      </w:pPr>
      <w:r w:rsidRPr="00D85EC9">
        <w:rPr>
          <w:rFonts w:eastAsia="Calibri" w:cstheme="minorHAnsi"/>
          <w:shd w:val="clear" w:color="auto" w:fill="FFFFFF"/>
        </w:rPr>
        <w:t xml:space="preserve">Device complication were noted in </w:t>
      </w:r>
      <w:r w:rsidRPr="00D85EC9">
        <w:rPr>
          <w:rFonts w:cstheme="minorHAnsi"/>
        </w:rPr>
        <w:t>19% with infection as the most common complication. See Table below.</w:t>
      </w:r>
    </w:p>
    <w:tbl>
      <w:tblPr>
        <w:tblW w:w="6700" w:type="dxa"/>
        <w:tblLook w:val="04A0" w:firstRow="1" w:lastRow="0" w:firstColumn="1" w:lastColumn="0" w:noHBand="0" w:noVBand="1"/>
      </w:tblPr>
      <w:tblGrid>
        <w:gridCol w:w="5215"/>
        <w:gridCol w:w="1485"/>
      </w:tblGrid>
      <w:tr w:rsidR="005D4BA0" w:rsidRPr="00D85EC9" w14:paraId="3004423F" w14:textId="77777777" w:rsidTr="00684B43">
        <w:trPr>
          <w:trHeight w:val="320"/>
        </w:trPr>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877DB" w14:textId="77777777" w:rsidR="005D4BA0" w:rsidRPr="00D85EC9" w:rsidRDefault="005D4BA0" w:rsidP="00684B43">
            <w:pPr>
              <w:rPr>
                <w:rFonts w:eastAsia="Times New Roman" w:cstheme="minorHAnsi"/>
                <w:b/>
                <w:bCs/>
                <w:color w:val="000000"/>
              </w:rPr>
            </w:pPr>
            <w:r w:rsidRPr="00D85EC9">
              <w:rPr>
                <w:rFonts w:eastAsia="Times New Roman" w:cstheme="minorHAnsi"/>
                <w:b/>
                <w:bCs/>
                <w:color w:val="000000"/>
              </w:rPr>
              <w:t>Device-related complications</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14:paraId="747B0F3B"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w:t>
            </w:r>
          </w:p>
        </w:tc>
      </w:tr>
      <w:tr w:rsidR="005D4BA0" w:rsidRPr="00D85EC9" w14:paraId="45CE5BF7" w14:textId="77777777" w:rsidTr="00684B43">
        <w:trPr>
          <w:trHeight w:val="32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E6E2F73"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 xml:space="preserve">Infection </w:t>
            </w:r>
          </w:p>
        </w:tc>
        <w:tc>
          <w:tcPr>
            <w:tcW w:w="1485" w:type="dxa"/>
            <w:tcBorders>
              <w:top w:val="nil"/>
              <w:left w:val="nil"/>
              <w:bottom w:val="single" w:sz="4" w:space="0" w:color="auto"/>
              <w:right w:val="single" w:sz="4" w:space="0" w:color="auto"/>
            </w:tcBorders>
            <w:shd w:val="clear" w:color="auto" w:fill="auto"/>
            <w:noWrap/>
            <w:vAlign w:val="bottom"/>
            <w:hideMark/>
          </w:tcPr>
          <w:p w14:paraId="541F09F8"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5 (9%)</w:t>
            </w:r>
          </w:p>
        </w:tc>
      </w:tr>
      <w:tr w:rsidR="005D4BA0" w:rsidRPr="00D85EC9" w14:paraId="72E3F3C5" w14:textId="77777777" w:rsidTr="00684B43">
        <w:trPr>
          <w:trHeight w:val="32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18AAE9A6"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Lead dislodgement</w:t>
            </w:r>
          </w:p>
        </w:tc>
        <w:tc>
          <w:tcPr>
            <w:tcW w:w="1485" w:type="dxa"/>
            <w:tcBorders>
              <w:top w:val="nil"/>
              <w:left w:val="nil"/>
              <w:bottom w:val="single" w:sz="4" w:space="0" w:color="auto"/>
              <w:right w:val="single" w:sz="4" w:space="0" w:color="auto"/>
            </w:tcBorders>
            <w:shd w:val="clear" w:color="auto" w:fill="auto"/>
            <w:noWrap/>
            <w:vAlign w:val="bottom"/>
            <w:hideMark/>
          </w:tcPr>
          <w:p w14:paraId="6FD253C1"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3 (6%)</w:t>
            </w:r>
          </w:p>
        </w:tc>
      </w:tr>
      <w:tr w:rsidR="005D4BA0" w:rsidRPr="00D85EC9" w14:paraId="6B8BB278" w14:textId="77777777" w:rsidTr="00684B43">
        <w:trPr>
          <w:trHeight w:val="32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2E0BB2B2"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Venous obstruction</w:t>
            </w:r>
          </w:p>
        </w:tc>
        <w:tc>
          <w:tcPr>
            <w:tcW w:w="1485" w:type="dxa"/>
            <w:tcBorders>
              <w:top w:val="nil"/>
              <w:left w:val="nil"/>
              <w:bottom w:val="single" w:sz="4" w:space="0" w:color="auto"/>
              <w:right w:val="single" w:sz="4" w:space="0" w:color="auto"/>
            </w:tcBorders>
            <w:shd w:val="clear" w:color="auto" w:fill="auto"/>
            <w:noWrap/>
            <w:vAlign w:val="bottom"/>
            <w:hideMark/>
          </w:tcPr>
          <w:p w14:paraId="11D32052"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1 (2%)</w:t>
            </w:r>
          </w:p>
        </w:tc>
      </w:tr>
      <w:tr w:rsidR="005D4BA0" w:rsidRPr="00D85EC9" w14:paraId="772FF72E" w14:textId="77777777" w:rsidTr="00684B43">
        <w:trPr>
          <w:trHeight w:val="320"/>
        </w:trPr>
        <w:tc>
          <w:tcPr>
            <w:tcW w:w="5215" w:type="dxa"/>
            <w:tcBorders>
              <w:top w:val="nil"/>
              <w:left w:val="single" w:sz="4" w:space="0" w:color="auto"/>
              <w:bottom w:val="single" w:sz="4" w:space="0" w:color="auto"/>
              <w:right w:val="single" w:sz="4" w:space="0" w:color="auto"/>
            </w:tcBorders>
            <w:shd w:val="clear" w:color="auto" w:fill="auto"/>
            <w:noWrap/>
            <w:vAlign w:val="bottom"/>
            <w:hideMark/>
          </w:tcPr>
          <w:p w14:paraId="694A86C6" w14:textId="77777777" w:rsidR="005D4BA0" w:rsidRPr="00D85EC9" w:rsidRDefault="005D4BA0" w:rsidP="00684B43">
            <w:pPr>
              <w:ind w:firstLineChars="100" w:firstLine="220"/>
              <w:rPr>
                <w:rFonts w:eastAsia="Times New Roman" w:cstheme="minorHAnsi"/>
                <w:color w:val="000000"/>
              </w:rPr>
            </w:pPr>
            <w:r w:rsidRPr="00D85EC9">
              <w:rPr>
                <w:rFonts w:eastAsia="Times New Roman" w:cstheme="minorHAnsi"/>
                <w:color w:val="000000"/>
              </w:rPr>
              <w:t>Pneumohemothorax and pulmonary embolism</w:t>
            </w:r>
          </w:p>
        </w:tc>
        <w:tc>
          <w:tcPr>
            <w:tcW w:w="1485" w:type="dxa"/>
            <w:tcBorders>
              <w:top w:val="nil"/>
              <w:left w:val="nil"/>
              <w:bottom w:val="single" w:sz="4" w:space="0" w:color="auto"/>
              <w:right w:val="single" w:sz="4" w:space="0" w:color="auto"/>
            </w:tcBorders>
            <w:shd w:val="clear" w:color="auto" w:fill="auto"/>
            <w:noWrap/>
            <w:vAlign w:val="bottom"/>
            <w:hideMark/>
          </w:tcPr>
          <w:p w14:paraId="6B214A65" w14:textId="77777777" w:rsidR="005D4BA0" w:rsidRPr="00D85EC9" w:rsidRDefault="005D4BA0" w:rsidP="00684B43">
            <w:pPr>
              <w:jc w:val="center"/>
              <w:rPr>
                <w:rFonts w:eastAsia="Times New Roman" w:cstheme="minorHAnsi"/>
                <w:color w:val="000000"/>
              </w:rPr>
            </w:pPr>
            <w:r w:rsidRPr="00D85EC9">
              <w:rPr>
                <w:rFonts w:eastAsia="Times New Roman" w:cstheme="minorHAnsi"/>
                <w:color w:val="000000"/>
              </w:rPr>
              <w:t xml:space="preserve"> 1 (2%)</w:t>
            </w:r>
          </w:p>
        </w:tc>
      </w:tr>
    </w:tbl>
    <w:p w14:paraId="062A8E89" w14:textId="77777777" w:rsidR="005D4BA0" w:rsidRPr="00D85EC9" w:rsidRDefault="005D4BA0" w:rsidP="005D4BA0">
      <w:pPr>
        <w:rPr>
          <w:rFonts w:eastAsia="Calibri" w:cstheme="minorHAnsi"/>
          <w:shd w:val="clear" w:color="auto" w:fill="FFFFFF"/>
        </w:rPr>
      </w:pPr>
    </w:p>
    <w:p w14:paraId="29AAC3C3" w14:textId="77777777" w:rsidR="005D4BA0" w:rsidRPr="00D85EC9" w:rsidRDefault="005D4BA0" w:rsidP="005D4BA0">
      <w:pPr>
        <w:rPr>
          <w:rFonts w:cstheme="minorHAnsi"/>
        </w:rPr>
      </w:pPr>
      <w:r w:rsidRPr="00D85EC9">
        <w:rPr>
          <w:rFonts w:eastAsia="Calibri" w:cstheme="minorHAnsi"/>
          <w:shd w:val="clear" w:color="auto" w:fill="FFFFFF"/>
        </w:rPr>
        <w:t>The effects of CRT were assessed at 1.8 ± 0.8 years (Early Period) and 4.7 ± 0.8 years (Late Period).   CRT was associated with improved cardiothoracic ratio, QRS duration, and NYHA Functional Class (p&lt;0.05) during the Early Period.  Only NYHA Functional Class improved in the Late Period. See figure below.</w:t>
      </w:r>
    </w:p>
    <w:p w14:paraId="1724C6D7" w14:textId="77777777" w:rsidR="005D4BA0" w:rsidRPr="00D85EC9" w:rsidRDefault="005D4BA0" w:rsidP="005D4BA0">
      <w:pPr>
        <w:autoSpaceDE w:val="0"/>
        <w:autoSpaceDN w:val="0"/>
        <w:adjustRightInd w:val="0"/>
        <w:rPr>
          <w:rFonts w:cstheme="minorHAnsi"/>
        </w:rPr>
      </w:pPr>
    </w:p>
    <w:p w14:paraId="78ECE604"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749CBCF4" wp14:editId="3C09CFF5">
            <wp:extent cx="3578011" cy="2257968"/>
            <wp:effectExtent l="12700" t="12700" r="1651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1599" cy="2266543"/>
                    </a:xfrm>
                    <a:prstGeom prst="rect">
                      <a:avLst/>
                    </a:prstGeom>
                    <a:ln>
                      <a:solidFill>
                        <a:schemeClr val="tx1"/>
                      </a:solidFill>
                    </a:ln>
                  </pic:spPr>
                </pic:pic>
              </a:graphicData>
            </a:graphic>
          </wp:inline>
        </w:drawing>
      </w:r>
    </w:p>
    <w:p w14:paraId="33412555" w14:textId="77777777" w:rsidR="005D4BA0" w:rsidRPr="00D85EC9" w:rsidRDefault="005D4BA0" w:rsidP="005D4BA0">
      <w:pPr>
        <w:autoSpaceDE w:val="0"/>
        <w:autoSpaceDN w:val="0"/>
        <w:adjustRightInd w:val="0"/>
        <w:ind w:left="106" w:right="-20"/>
        <w:rPr>
          <w:rFonts w:cstheme="minorHAnsi"/>
        </w:rPr>
      </w:pPr>
    </w:p>
    <w:p w14:paraId="275048B6" w14:textId="77777777" w:rsidR="00D23640" w:rsidRDefault="00D23640">
      <w:pPr>
        <w:rPr>
          <w:rFonts w:cstheme="minorHAnsi"/>
        </w:rPr>
      </w:pPr>
      <w:r>
        <w:rPr>
          <w:rFonts w:cstheme="minorHAnsi"/>
        </w:rPr>
        <w:br w:type="page"/>
      </w:r>
    </w:p>
    <w:p w14:paraId="3214E52C" w14:textId="7EB3E7C2" w:rsidR="005D4BA0" w:rsidRPr="00D85EC9" w:rsidRDefault="005D4BA0" w:rsidP="005D4BA0">
      <w:pPr>
        <w:autoSpaceDE w:val="0"/>
        <w:autoSpaceDN w:val="0"/>
        <w:adjustRightInd w:val="0"/>
        <w:rPr>
          <w:rFonts w:cstheme="minorHAnsi"/>
        </w:rPr>
      </w:pPr>
      <w:r w:rsidRPr="00D85EC9">
        <w:rPr>
          <w:rFonts w:cstheme="minorHAnsi"/>
        </w:rPr>
        <w:lastRenderedPageBreak/>
        <w:t xml:space="preserve">NYHA Functional Class improved in the Early and Late Period with CRT (See Below). In the Early Period, improvement in functional class was seen 65%, no change was seen in 33%, and worsening was seen in 2%.  In the Late Period when compared to the Early Period, further improvement in functional class was seen in 2%, no change was seen in 37%, and worsening from prior class in 31%. </w:t>
      </w:r>
      <w:r w:rsidRPr="00D85EC9">
        <w:rPr>
          <w:rFonts w:eastAsia="Calibri" w:cstheme="minorHAnsi"/>
          <w:shd w:val="clear" w:color="auto" w:fill="FFFFFF"/>
        </w:rPr>
        <w:t>Of note, only Late Period data on NYHA Functional Class was available in 70%. See figure below.</w:t>
      </w:r>
    </w:p>
    <w:p w14:paraId="66A88B98"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5F7BB275" wp14:editId="277A2525">
            <wp:extent cx="2832926" cy="2192356"/>
            <wp:effectExtent l="12700" t="12700" r="1206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002" cy="2210988"/>
                    </a:xfrm>
                    <a:prstGeom prst="rect">
                      <a:avLst/>
                    </a:prstGeom>
                    <a:noFill/>
                    <a:ln w="12700">
                      <a:solidFill>
                        <a:schemeClr val="tx1"/>
                      </a:solidFill>
                    </a:ln>
                  </pic:spPr>
                </pic:pic>
              </a:graphicData>
            </a:graphic>
          </wp:inline>
        </w:drawing>
      </w:r>
    </w:p>
    <w:p w14:paraId="6B00326A" w14:textId="77777777" w:rsidR="005D4BA0" w:rsidRPr="00D85EC9" w:rsidRDefault="005D4BA0" w:rsidP="005D4BA0">
      <w:pPr>
        <w:autoSpaceDE w:val="0"/>
        <w:autoSpaceDN w:val="0"/>
        <w:adjustRightInd w:val="0"/>
        <w:rPr>
          <w:rFonts w:cstheme="minorHAnsi"/>
        </w:rPr>
      </w:pPr>
    </w:p>
    <w:p w14:paraId="2542090A" w14:textId="77777777" w:rsidR="00650D5F" w:rsidRDefault="00650D5F">
      <w:pPr>
        <w:rPr>
          <w:rFonts w:eastAsia="Calibri" w:cstheme="minorHAnsi"/>
        </w:rPr>
      </w:pPr>
      <w:r>
        <w:rPr>
          <w:rFonts w:eastAsia="Calibri" w:cstheme="minorHAnsi"/>
        </w:rPr>
        <w:br w:type="page"/>
      </w:r>
    </w:p>
    <w:p w14:paraId="302D22F1" w14:textId="099E9EE2" w:rsidR="005D4BA0" w:rsidRPr="00D85EC9" w:rsidRDefault="005D4BA0" w:rsidP="005D4BA0">
      <w:pPr>
        <w:autoSpaceDE w:val="0"/>
        <w:autoSpaceDN w:val="0"/>
        <w:adjustRightInd w:val="0"/>
        <w:rPr>
          <w:rFonts w:cstheme="minorHAnsi"/>
        </w:rPr>
      </w:pPr>
      <w:r w:rsidRPr="00D85EC9">
        <w:rPr>
          <w:rFonts w:eastAsia="Calibri" w:cstheme="minorHAnsi"/>
        </w:rPr>
        <w:lastRenderedPageBreak/>
        <w:t xml:space="preserve">Response to CRT with a ≥ 5% increase in LVEF or RVFAC was seen in 65%. </w:t>
      </w:r>
      <w:r w:rsidRPr="00D85EC9">
        <w:rPr>
          <w:rFonts w:cstheme="minorHAnsi"/>
        </w:rPr>
        <w:t xml:space="preserve"> Most responders had a systemic LV (74%) compared to systemic RV (40%).  There was significant improvement in ejection fraction at both the early and late period for systemic left ventricles. However, there was no significant improvement in RV fractional area change in the systemic right ventricles. See figures below. </w:t>
      </w:r>
    </w:p>
    <w:p w14:paraId="6C1A3B5B"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13EFD2D6" wp14:editId="72781FC6">
            <wp:extent cx="2368626" cy="2096391"/>
            <wp:effectExtent l="12700" t="12700" r="635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0098"/>
                    <a:stretch/>
                  </pic:blipFill>
                  <pic:spPr bwMode="auto">
                    <a:xfrm>
                      <a:off x="0" y="0"/>
                      <a:ext cx="2387732" cy="21133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85EC9">
        <w:rPr>
          <w:rFonts w:cstheme="minorHAnsi"/>
          <w:noProof/>
        </w:rPr>
        <w:drawing>
          <wp:inline distT="0" distB="0" distL="0" distR="0" wp14:anchorId="0567EC70" wp14:editId="0E6D13D6">
            <wp:extent cx="2954933" cy="2113915"/>
            <wp:effectExtent l="19050" t="19050" r="17145"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106"/>
                    <a:stretch/>
                  </pic:blipFill>
                  <pic:spPr bwMode="auto">
                    <a:xfrm>
                      <a:off x="0" y="0"/>
                      <a:ext cx="3011508" cy="21543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640513" w14:textId="77777777" w:rsidR="005D4BA0" w:rsidRPr="00D85EC9" w:rsidRDefault="005D4BA0" w:rsidP="005D4BA0">
      <w:pPr>
        <w:autoSpaceDE w:val="0"/>
        <w:autoSpaceDN w:val="0"/>
        <w:adjustRightInd w:val="0"/>
        <w:rPr>
          <w:rFonts w:cstheme="minorHAnsi"/>
        </w:rPr>
      </w:pPr>
    </w:p>
    <w:p w14:paraId="29237CDA" w14:textId="77777777" w:rsidR="005D4BA0" w:rsidRPr="00D85EC9" w:rsidRDefault="005D4BA0" w:rsidP="005D4BA0">
      <w:pPr>
        <w:autoSpaceDE w:val="0"/>
        <w:autoSpaceDN w:val="0"/>
        <w:adjustRightInd w:val="0"/>
        <w:rPr>
          <w:rFonts w:cstheme="minorHAnsi"/>
        </w:rPr>
      </w:pPr>
    </w:p>
    <w:p w14:paraId="51796D98" w14:textId="77777777" w:rsidR="005D4BA0" w:rsidRPr="00D85EC9" w:rsidRDefault="005D4BA0" w:rsidP="005D4BA0">
      <w:pPr>
        <w:autoSpaceDE w:val="0"/>
        <w:autoSpaceDN w:val="0"/>
        <w:adjustRightInd w:val="0"/>
        <w:rPr>
          <w:rFonts w:cstheme="minorHAnsi"/>
        </w:rPr>
      </w:pPr>
    </w:p>
    <w:p w14:paraId="3A6E351D"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62756460" wp14:editId="4C989A01">
            <wp:extent cx="2390557" cy="2060154"/>
            <wp:effectExtent l="12700" t="1270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458"/>
                    <a:stretch/>
                  </pic:blipFill>
                  <pic:spPr bwMode="auto">
                    <a:xfrm>
                      <a:off x="0" y="0"/>
                      <a:ext cx="2413239" cy="2079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85EC9">
        <w:rPr>
          <w:rFonts w:cstheme="minorHAnsi"/>
          <w:noProof/>
        </w:rPr>
        <w:drawing>
          <wp:inline distT="0" distB="0" distL="0" distR="0" wp14:anchorId="1558FE1E" wp14:editId="12199201">
            <wp:extent cx="2783473" cy="2074022"/>
            <wp:effectExtent l="12700" t="12700" r="1079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073"/>
                    <a:stretch/>
                  </pic:blipFill>
                  <pic:spPr bwMode="auto">
                    <a:xfrm>
                      <a:off x="0" y="0"/>
                      <a:ext cx="2823099" cy="21035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F86BA8" w14:textId="77777777" w:rsidR="005D4BA0" w:rsidRPr="00D85EC9" w:rsidRDefault="005D4BA0" w:rsidP="005D4BA0">
      <w:pPr>
        <w:autoSpaceDE w:val="0"/>
        <w:autoSpaceDN w:val="0"/>
        <w:adjustRightInd w:val="0"/>
        <w:spacing w:before="8" w:line="170" w:lineRule="exact"/>
        <w:rPr>
          <w:rFonts w:cstheme="minorHAnsi"/>
        </w:rPr>
      </w:pPr>
    </w:p>
    <w:p w14:paraId="4546E8DE" w14:textId="77777777" w:rsidR="005D4BA0" w:rsidRPr="00D85EC9" w:rsidRDefault="005D4BA0" w:rsidP="005D4BA0">
      <w:pPr>
        <w:autoSpaceDE w:val="0"/>
        <w:autoSpaceDN w:val="0"/>
        <w:adjustRightInd w:val="0"/>
        <w:rPr>
          <w:rFonts w:cstheme="minorHAnsi"/>
        </w:rPr>
      </w:pPr>
    </w:p>
    <w:p w14:paraId="4C606883" w14:textId="77777777" w:rsidR="005D4BA0" w:rsidRPr="00D85EC9" w:rsidRDefault="005D4BA0" w:rsidP="005D4BA0">
      <w:pPr>
        <w:autoSpaceDE w:val="0"/>
        <w:autoSpaceDN w:val="0"/>
        <w:adjustRightInd w:val="0"/>
        <w:rPr>
          <w:rFonts w:cstheme="minorHAnsi"/>
        </w:rPr>
      </w:pPr>
    </w:p>
    <w:p w14:paraId="29963798" w14:textId="77777777" w:rsidR="005D4BA0" w:rsidRPr="00D85EC9" w:rsidRDefault="005D4BA0" w:rsidP="005D4BA0">
      <w:pPr>
        <w:autoSpaceDE w:val="0"/>
        <w:autoSpaceDN w:val="0"/>
        <w:adjustRightInd w:val="0"/>
        <w:rPr>
          <w:rFonts w:cstheme="minorHAnsi"/>
        </w:rPr>
      </w:pPr>
    </w:p>
    <w:p w14:paraId="02DF7912" w14:textId="77777777" w:rsidR="005D4BA0" w:rsidRPr="00D85EC9" w:rsidRDefault="005D4BA0" w:rsidP="005D4BA0">
      <w:pPr>
        <w:autoSpaceDE w:val="0"/>
        <w:autoSpaceDN w:val="0"/>
        <w:adjustRightInd w:val="0"/>
        <w:rPr>
          <w:rFonts w:cstheme="minorHAnsi"/>
        </w:rPr>
      </w:pPr>
    </w:p>
    <w:p w14:paraId="52345984" w14:textId="77777777" w:rsidR="005D4BA0" w:rsidRPr="00D85EC9" w:rsidRDefault="005D4BA0" w:rsidP="005D4BA0">
      <w:pPr>
        <w:autoSpaceDE w:val="0"/>
        <w:autoSpaceDN w:val="0"/>
        <w:adjustRightInd w:val="0"/>
        <w:rPr>
          <w:rFonts w:cstheme="minorHAnsi"/>
        </w:rPr>
      </w:pPr>
    </w:p>
    <w:p w14:paraId="3D5AFCB7" w14:textId="77777777" w:rsidR="005D4BA0" w:rsidRPr="00D85EC9" w:rsidRDefault="005D4BA0" w:rsidP="005D4BA0">
      <w:pPr>
        <w:autoSpaceDE w:val="0"/>
        <w:autoSpaceDN w:val="0"/>
        <w:adjustRightInd w:val="0"/>
        <w:rPr>
          <w:rFonts w:cstheme="minorHAnsi"/>
        </w:rPr>
      </w:pPr>
    </w:p>
    <w:p w14:paraId="669DC834" w14:textId="77777777" w:rsidR="005D4BA0" w:rsidRPr="00D85EC9" w:rsidRDefault="005D4BA0" w:rsidP="005D4BA0">
      <w:pPr>
        <w:autoSpaceDE w:val="0"/>
        <w:autoSpaceDN w:val="0"/>
        <w:adjustRightInd w:val="0"/>
        <w:rPr>
          <w:rFonts w:cstheme="minorHAnsi"/>
        </w:rPr>
      </w:pPr>
      <w:r w:rsidRPr="00D85EC9">
        <w:rPr>
          <w:rFonts w:cstheme="minorHAnsi"/>
        </w:rPr>
        <w:lastRenderedPageBreak/>
        <w:t xml:space="preserve">On further echocardiographic assessment of systemic left ventricles, improved LVEF and LV End systolic volume persisted in Late Period follow-up.  </w:t>
      </w:r>
    </w:p>
    <w:p w14:paraId="4E1656EB" w14:textId="77777777" w:rsidR="005D4BA0" w:rsidRPr="00D85EC9" w:rsidRDefault="005D4BA0" w:rsidP="005D4BA0">
      <w:pPr>
        <w:autoSpaceDE w:val="0"/>
        <w:autoSpaceDN w:val="0"/>
        <w:adjustRightInd w:val="0"/>
        <w:rPr>
          <w:rFonts w:cstheme="minorHAnsi"/>
        </w:rPr>
      </w:pPr>
      <w:r w:rsidRPr="00D85EC9">
        <w:rPr>
          <w:rFonts w:cstheme="minorHAnsi"/>
          <w:noProof/>
        </w:rPr>
        <w:t xml:space="preserve"> </w:t>
      </w:r>
      <w:r w:rsidRPr="00D85EC9">
        <w:rPr>
          <w:rFonts w:cstheme="minorHAnsi"/>
          <w:noProof/>
        </w:rPr>
        <w:drawing>
          <wp:inline distT="0" distB="0" distL="0" distR="0" wp14:anchorId="7A02E050" wp14:editId="5B6466DB">
            <wp:extent cx="5233012" cy="18924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173" cy="1900501"/>
                    </a:xfrm>
                    <a:prstGeom prst="rect">
                      <a:avLst/>
                    </a:prstGeom>
                  </pic:spPr>
                </pic:pic>
              </a:graphicData>
            </a:graphic>
          </wp:inline>
        </w:drawing>
      </w:r>
    </w:p>
    <w:p w14:paraId="4A116204" w14:textId="77777777" w:rsidR="005D4BA0" w:rsidRPr="00D85EC9" w:rsidRDefault="005D4BA0" w:rsidP="005D4BA0">
      <w:pPr>
        <w:autoSpaceDE w:val="0"/>
        <w:autoSpaceDN w:val="0"/>
        <w:adjustRightInd w:val="0"/>
        <w:rPr>
          <w:rFonts w:cstheme="minorHAnsi"/>
        </w:rPr>
      </w:pPr>
    </w:p>
    <w:p w14:paraId="17EA1BD5" w14:textId="77777777" w:rsidR="005D4BA0" w:rsidRPr="00D85EC9" w:rsidRDefault="005D4BA0" w:rsidP="005D4BA0">
      <w:pPr>
        <w:autoSpaceDE w:val="0"/>
        <w:autoSpaceDN w:val="0"/>
        <w:adjustRightInd w:val="0"/>
        <w:rPr>
          <w:rFonts w:cstheme="minorHAnsi"/>
        </w:rPr>
      </w:pPr>
      <w:r w:rsidRPr="00D85EC9">
        <w:rPr>
          <w:rFonts w:cstheme="minorHAnsi"/>
        </w:rPr>
        <w:t xml:space="preserve">On further echocardiographic assessment of systemic right ventricles, there was no significant improvement in RV function that persisted in the Late Period follow-up.  </w:t>
      </w:r>
    </w:p>
    <w:p w14:paraId="0B3A6ED5" w14:textId="77777777" w:rsidR="005D4BA0" w:rsidRPr="00D85EC9" w:rsidRDefault="005D4BA0" w:rsidP="005D4BA0">
      <w:pPr>
        <w:autoSpaceDE w:val="0"/>
        <w:autoSpaceDN w:val="0"/>
        <w:adjustRightInd w:val="0"/>
        <w:rPr>
          <w:rFonts w:cstheme="minorHAnsi"/>
        </w:rPr>
      </w:pPr>
    </w:p>
    <w:p w14:paraId="5BBA9A8C"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35CABAE6" wp14:editId="3D70CD24">
            <wp:extent cx="5244029" cy="1891289"/>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5593" cy="1899066"/>
                    </a:xfrm>
                    <a:prstGeom prst="rect">
                      <a:avLst/>
                    </a:prstGeom>
                  </pic:spPr>
                </pic:pic>
              </a:graphicData>
            </a:graphic>
          </wp:inline>
        </w:drawing>
      </w:r>
    </w:p>
    <w:p w14:paraId="20C7DD67" w14:textId="77777777" w:rsidR="005D4BA0" w:rsidRPr="00D85EC9" w:rsidRDefault="005D4BA0" w:rsidP="005D4BA0">
      <w:pPr>
        <w:autoSpaceDE w:val="0"/>
        <w:autoSpaceDN w:val="0"/>
        <w:adjustRightInd w:val="0"/>
        <w:rPr>
          <w:rFonts w:cstheme="minorHAnsi"/>
        </w:rPr>
      </w:pPr>
    </w:p>
    <w:p w14:paraId="1FB9869B" w14:textId="77777777" w:rsidR="0046130C" w:rsidRDefault="0046130C">
      <w:pPr>
        <w:rPr>
          <w:rFonts w:cstheme="minorHAnsi"/>
        </w:rPr>
      </w:pPr>
      <w:r>
        <w:rPr>
          <w:rFonts w:cstheme="minorHAnsi"/>
        </w:rPr>
        <w:br w:type="page"/>
      </w:r>
    </w:p>
    <w:p w14:paraId="2E858B84" w14:textId="6BDD314F" w:rsidR="005D4BA0" w:rsidRPr="00D85EC9" w:rsidRDefault="005D4BA0" w:rsidP="005D4BA0">
      <w:pPr>
        <w:autoSpaceDE w:val="0"/>
        <w:autoSpaceDN w:val="0"/>
        <w:adjustRightInd w:val="0"/>
        <w:rPr>
          <w:rFonts w:cstheme="minorHAnsi"/>
        </w:rPr>
      </w:pPr>
      <w:r w:rsidRPr="00D85EC9">
        <w:rPr>
          <w:rFonts w:cstheme="minorHAnsi"/>
        </w:rPr>
        <w:lastRenderedPageBreak/>
        <w:t>Predictors of CRT response on multivariate analysis showed only baseline QRS duration was a significant predictor (OR: 1.4 per every 10-msec increase in QRS duration; 95% CI, 1.042</w:t>
      </w:r>
      <w:r w:rsidRPr="00D85EC9">
        <w:rPr>
          <w:rFonts w:cstheme="minorHAnsi"/>
          <w:b/>
          <w:bCs/>
        </w:rPr>
        <w:t>–</w:t>
      </w:r>
      <w:r w:rsidRPr="00D85EC9">
        <w:rPr>
          <w:rFonts w:cstheme="minorHAnsi"/>
        </w:rPr>
        <w:t xml:space="preserve"> 1.838; </w:t>
      </w:r>
      <w:r w:rsidRPr="00D85EC9">
        <w:rPr>
          <w:rFonts w:cstheme="minorHAnsi"/>
          <w:bCs/>
        </w:rPr>
        <w:t>p=</w:t>
      </w:r>
      <w:r w:rsidRPr="00D85EC9">
        <w:rPr>
          <w:rFonts w:cstheme="minorHAnsi"/>
        </w:rPr>
        <w:t xml:space="preserve"> 0.025). The QRS duration for responders vs non-responders was 182 ±23 </w:t>
      </w:r>
      <w:proofErr w:type="spellStart"/>
      <w:r w:rsidRPr="00D85EC9">
        <w:rPr>
          <w:rFonts w:cstheme="minorHAnsi"/>
        </w:rPr>
        <w:t>msec</w:t>
      </w:r>
      <w:proofErr w:type="spellEnd"/>
      <w:r w:rsidRPr="00D85EC9">
        <w:rPr>
          <w:rFonts w:cstheme="minorHAnsi"/>
        </w:rPr>
        <w:t xml:space="preserve"> vs. 159 ± 29 </w:t>
      </w:r>
      <w:proofErr w:type="spellStart"/>
      <w:r w:rsidRPr="00D85EC9">
        <w:rPr>
          <w:rFonts w:cstheme="minorHAnsi"/>
        </w:rPr>
        <w:t>msec</w:t>
      </w:r>
      <w:proofErr w:type="spellEnd"/>
      <w:r w:rsidRPr="00D85EC9">
        <w:rPr>
          <w:rFonts w:cstheme="minorHAnsi"/>
        </w:rPr>
        <w:t xml:space="preserve"> (p&lt;0.007). There was no difference in QRS duration in those without or without a pre-existing pacemaker and prior pacemaker was not shown to be a risk factor.  See figure below.</w:t>
      </w:r>
    </w:p>
    <w:p w14:paraId="54460B49" w14:textId="77777777" w:rsidR="005D4BA0" w:rsidRPr="00D85EC9" w:rsidRDefault="005D4BA0" w:rsidP="005D4BA0">
      <w:pPr>
        <w:autoSpaceDE w:val="0"/>
        <w:autoSpaceDN w:val="0"/>
        <w:adjustRightInd w:val="0"/>
        <w:rPr>
          <w:rFonts w:cstheme="minorHAnsi"/>
        </w:rPr>
      </w:pPr>
    </w:p>
    <w:p w14:paraId="1E2BE289"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2B7AB1C6" wp14:editId="1D02CEA6">
            <wp:extent cx="4737100" cy="436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7100" cy="4368800"/>
                    </a:xfrm>
                    <a:prstGeom prst="rect">
                      <a:avLst/>
                    </a:prstGeom>
                  </pic:spPr>
                </pic:pic>
              </a:graphicData>
            </a:graphic>
          </wp:inline>
        </w:drawing>
      </w:r>
    </w:p>
    <w:p w14:paraId="149E74A5" w14:textId="77777777" w:rsidR="005D4BA0" w:rsidRPr="00D85EC9" w:rsidRDefault="005D4BA0" w:rsidP="005D4BA0">
      <w:pPr>
        <w:autoSpaceDE w:val="0"/>
        <w:autoSpaceDN w:val="0"/>
        <w:adjustRightInd w:val="0"/>
        <w:rPr>
          <w:rFonts w:cstheme="minorHAnsi"/>
        </w:rPr>
      </w:pPr>
    </w:p>
    <w:p w14:paraId="1DED8D60" w14:textId="77777777" w:rsidR="005D4BA0" w:rsidRPr="00D85EC9" w:rsidRDefault="005D4BA0" w:rsidP="005D4BA0">
      <w:pPr>
        <w:autoSpaceDE w:val="0"/>
        <w:autoSpaceDN w:val="0"/>
        <w:adjustRightInd w:val="0"/>
        <w:rPr>
          <w:rFonts w:cstheme="minorHAnsi"/>
        </w:rPr>
      </w:pPr>
    </w:p>
    <w:p w14:paraId="611EFA1D" w14:textId="77777777" w:rsidR="00F315DA" w:rsidRDefault="00F315DA">
      <w:pPr>
        <w:rPr>
          <w:rFonts w:cstheme="minorHAnsi"/>
        </w:rPr>
      </w:pPr>
      <w:r>
        <w:rPr>
          <w:rFonts w:cstheme="minorHAnsi"/>
        </w:rPr>
        <w:br w:type="page"/>
      </w:r>
    </w:p>
    <w:p w14:paraId="3D554E87" w14:textId="7A105F25" w:rsidR="005D4BA0" w:rsidRPr="00D85EC9" w:rsidRDefault="005D4BA0" w:rsidP="00F315DA">
      <w:pPr>
        <w:autoSpaceDE w:val="0"/>
        <w:autoSpaceDN w:val="0"/>
        <w:adjustRightInd w:val="0"/>
        <w:spacing w:after="0"/>
        <w:rPr>
          <w:rFonts w:cstheme="minorHAnsi"/>
        </w:rPr>
      </w:pPr>
      <w:r w:rsidRPr="00D85EC9">
        <w:rPr>
          <w:rFonts w:cstheme="minorHAnsi"/>
        </w:rPr>
        <w:lastRenderedPageBreak/>
        <w:t xml:space="preserve">Overall, 20% died from all-cause mortality between 4.2 and 11.8 years after CRT. Below are </w:t>
      </w:r>
    </w:p>
    <w:p w14:paraId="0CB262CB" w14:textId="77777777" w:rsidR="005D4BA0" w:rsidRPr="00D85EC9" w:rsidRDefault="005D4BA0" w:rsidP="00F315DA">
      <w:pPr>
        <w:autoSpaceDE w:val="0"/>
        <w:autoSpaceDN w:val="0"/>
        <w:adjustRightInd w:val="0"/>
        <w:spacing w:after="0"/>
        <w:rPr>
          <w:rFonts w:cstheme="minorHAnsi"/>
        </w:rPr>
      </w:pPr>
      <w:r w:rsidRPr="00D85EC9">
        <w:rPr>
          <w:rFonts w:cstheme="minorHAnsi"/>
        </w:rPr>
        <w:t xml:space="preserve">Kaplan-Meier curves depicting freedom from death and heart transplantation from CRT in patients with systemic left and right ventricles. Of note, 2 patients listed for transplant were removed from the list due to clinical improvement with CRT. </w:t>
      </w:r>
    </w:p>
    <w:p w14:paraId="3284BFBE" w14:textId="77777777" w:rsidR="005D4BA0" w:rsidRPr="00D85EC9" w:rsidRDefault="005D4BA0" w:rsidP="005D4BA0">
      <w:pPr>
        <w:autoSpaceDE w:val="0"/>
        <w:autoSpaceDN w:val="0"/>
        <w:adjustRightInd w:val="0"/>
        <w:rPr>
          <w:rFonts w:cstheme="minorHAnsi"/>
        </w:rPr>
      </w:pPr>
    </w:p>
    <w:p w14:paraId="29BCA621" w14:textId="77777777" w:rsidR="005D4BA0" w:rsidRPr="00D85EC9" w:rsidRDefault="005D4BA0" w:rsidP="005D4BA0">
      <w:pPr>
        <w:autoSpaceDE w:val="0"/>
        <w:autoSpaceDN w:val="0"/>
        <w:adjustRightInd w:val="0"/>
        <w:rPr>
          <w:rFonts w:cstheme="minorHAnsi"/>
        </w:rPr>
      </w:pPr>
    </w:p>
    <w:p w14:paraId="453E0C1E" w14:textId="77777777" w:rsidR="005D4BA0" w:rsidRPr="00D85EC9" w:rsidRDefault="005D4BA0" w:rsidP="005D4BA0">
      <w:pPr>
        <w:autoSpaceDE w:val="0"/>
        <w:autoSpaceDN w:val="0"/>
        <w:adjustRightInd w:val="0"/>
        <w:rPr>
          <w:rFonts w:cstheme="minorHAnsi"/>
        </w:rPr>
      </w:pPr>
      <w:r w:rsidRPr="00D85EC9">
        <w:rPr>
          <w:rFonts w:cstheme="minorHAnsi"/>
          <w:noProof/>
        </w:rPr>
        <w:drawing>
          <wp:inline distT="0" distB="0" distL="0" distR="0" wp14:anchorId="0FBE885B" wp14:editId="1B81BA91">
            <wp:extent cx="3068112" cy="1749157"/>
            <wp:effectExtent l="0" t="0" r="571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0316" cy="1761816"/>
                    </a:xfrm>
                    <a:prstGeom prst="rect">
                      <a:avLst/>
                    </a:prstGeom>
                    <a:noFill/>
                    <a:ln>
                      <a:noFill/>
                    </a:ln>
                  </pic:spPr>
                </pic:pic>
              </a:graphicData>
            </a:graphic>
          </wp:inline>
        </w:drawing>
      </w:r>
    </w:p>
    <w:p w14:paraId="7863A35A" w14:textId="77777777" w:rsidR="005D4BA0" w:rsidRPr="00D85EC9" w:rsidRDefault="005D4BA0" w:rsidP="005D4BA0">
      <w:pPr>
        <w:autoSpaceDE w:val="0"/>
        <w:autoSpaceDN w:val="0"/>
        <w:adjustRightInd w:val="0"/>
        <w:spacing w:line="190" w:lineRule="exact"/>
        <w:rPr>
          <w:rFonts w:cstheme="minorHAnsi"/>
        </w:rPr>
      </w:pPr>
    </w:p>
    <w:p w14:paraId="49C7122A" w14:textId="0D8038E0" w:rsidR="005D4BA0" w:rsidRPr="00D85EC9" w:rsidRDefault="005D4BA0" w:rsidP="005D4BA0">
      <w:pPr>
        <w:rPr>
          <w:rFonts w:cstheme="minorHAnsi"/>
        </w:rPr>
      </w:pPr>
      <w:r w:rsidRPr="00D85EC9">
        <w:rPr>
          <w:rFonts w:eastAsia="Calibri" w:cstheme="minorHAnsi"/>
        </w:rPr>
        <w:t>This</w:t>
      </w:r>
      <w:r w:rsidRPr="00D85EC9">
        <w:rPr>
          <w:rFonts w:cstheme="minorHAnsi"/>
        </w:rPr>
        <w:t xml:space="preserve"> </w:t>
      </w:r>
      <w:r w:rsidRPr="00D85EC9">
        <w:rPr>
          <w:rFonts w:eastAsia="Calibri" w:cstheme="minorHAnsi"/>
        </w:rPr>
        <w:t>study</w:t>
      </w:r>
      <w:r w:rsidRPr="00D85EC9">
        <w:rPr>
          <w:rFonts w:cstheme="minorHAnsi"/>
        </w:rPr>
        <w:t xml:space="preserve"> </w:t>
      </w:r>
      <w:r w:rsidRPr="00D85EC9">
        <w:rPr>
          <w:rFonts w:eastAsia="Calibri" w:cstheme="minorHAnsi"/>
        </w:rPr>
        <w:t>demonstrates</w:t>
      </w:r>
      <w:r w:rsidRPr="00D85EC9">
        <w:rPr>
          <w:rFonts w:cstheme="minorHAnsi"/>
        </w:rPr>
        <w:t xml:space="preserve"> the efficacy of CRT in an older cohort of heterogenous ACHD patients with improvement in both NYHA Functional Class and systemic ventricular function. The design of this study allowed for analysis of early and late effects of CRT which had not previously been reported. </w:t>
      </w:r>
    </w:p>
    <w:p w14:paraId="1B428D75" w14:textId="6297AF59" w:rsidR="005D4BA0" w:rsidRPr="00D85EC9" w:rsidRDefault="005D4BA0" w:rsidP="005D4BA0">
      <w:pPr>
        <w:rPr>
          <w:rFonts w:cstheme="minorHAnsi"/>
        </w:rPr>
      </w:pPr>
      <w:r w:rsidRPr="00D85EC9">
        <w:rPr>
          <w:rFonts w:cstheme="minorHAnsi"/>
        </w:rPr>
        <w:t xml:space="preserve">The improvements in ventricular function were seen at both short and long-term follow-up in those with systemic left ventricles but were not seen in those with systemic right ventricles. This lack of response may be reflective of the small sample size, heterogeneity of cardiac lesions, or ventricular morphology.  Overall, the majority of patients had an improvement (65%) or no change (33%) in NYHA Class early after CRT but a subsequent decline in NYHA Class was seen overtime in 31% raising concern for the long-term effectiveness of CRT in these patients.  </w:t>
      </w:r>
    </w:p>
    <w:p w14:paraId="2E8E8FC1" w14:textId="5A282005" w:rsidR="005D4BA0" w:rsidRPr="00D85EC9" w:rsidRDefault="005D4BA0" w:rsidP="005D4BA0">
      <w:pPr>
        <w:rPr>
          <w:rFonts w:cstheme="minorHAnsi"/>
        </w:rPr>
      </w:pPr>
      <w:r w:rsidRPr="00D85EC9">
        <w:rPr>
          <w:rFonts w:cstheme="minorHAnsi"/>
        </w:rPr>
        <w:t xml:space="preserve">The response to CRT was dependent on QRS duration consistent with data from adults without ACHD. However, bundle branch block morphology was not associated with response. In addition, left ventricular morphology plays an important role in those with the highest likelihood to respond. </w:t>
      </w:r>
    </w:p>
    <w:p w14:paraId="27B9215F" w14:textId="65D2E427" w:rsidR="005D4BA0" w:rsidRPr="00D85EC9" w:rsidRDefault="005D4BA0" w:rsidP="005D4BA0">
      <w:pPr>
        <w:rPr>
          <w:rFonts w:cstheme="minorHAnsi"/>
        </w:rPr>
      </w:pPr>
      <w:r w:rsidRPr="00D85EC9">
        <w:rPr>
          <w:rFonts w:cstheme="minorHAnsi"/>
        </w:rPr>
        <w:t xml:space="preserve">Despite the positive effects of CRT in this population, 20% died of all-cause mortality. Identifying and improving methods to treat heart failure in the ACHD population is therefore critically important.  </w:t>
      </w:r>
    </w:p>
    <w:p w14:paraId="72A5DB21" w14:textId="5D47FD34" w:rsidR="005D4BA0" w:rsidRPr="00D85EC9" w:rsidRDefault="005D4BA0" w:rsidP="005D4BA0">
      <w:pPr>
        <w:rPr>
          <w:rFonts w:cstheme="minorHAnsi"/>
        </w:rPr>
      </w:pPr>
      <w:r w:rsidRPr="00D85EC9">
        <w:rPr>
          <w:rFonts w:cstheme="minorHAnsi"/>
        </w:rPr>
        <w:t xml:space="preserve">This study raises the importance of using CRT in ACHD with systemic ventricular dysfunction and heart failure. In particular, the study demonstrated minimal deleterious effects on cardiac function with significant potential benefits.  Clearly there are important anatomic and procedural aspects to consider as device complications were seen in 19%.  However, increased experience should result in reducing these issues. </w:t>
      </w:r>
    </w:p>
    <w:p w14:paraId="72B87139" w14:textId="4E4E5A4E" w:rsidR="005D4BA0" w:rsidRPr="00D85EC9" w:rsidRDefault="005D4BA0" w:rsidP="005D4BA0">
      <w:pPr>
        <w:rPr>
          <w:rFonts w:cstheme="minorHAnsi"/>
        </w:rPr>
      </w:pPr>
      <w:r w:rsidRPr="00D85EC9">
        <w:rPr>
          <w:rFonts w:cstheme="minorHAnsi"/>
        </w:rPr>
        <w:t xml:space="preserve">Ultimately, more data is needed with larger sample sizes, more homogenous populations, and longer term follow-up to determine the response to CRT and better identify predictors to refine existing guidelines.  In addition, the cohort in this study focused only on the failing systemic RV and LV in </w:t>
      </w:r>
      <w:r w:rsidRPr="00D85EC9">
        <w:rPr>
          <w:rFonts w:cstheme="minorHAnsi"/>
        </w:rPr>
        <w:lastRenderedPageBreak/>
        <w:t xml:space="preserve">biventricular circulation.  Further consideration is needed in those with failing single ventricles (RV vs. LV) or failing subpulmonary ventricles. </w:t>
      </w:r>
      <w:bookmarkStart w:id="0" w:name="_GoBack"/>
      <w:bookmarkEnd w:id="0"/>
      <w:r w:rsidRPr="00D85EC9">
        <w:rPr>
          <w:rFonts w:cstheme="minorHAnsi"/>
        </w:rPr>
        <w:t xml:space="preserve"> </w:t>
      </w:r>
    </w:p>
    <w:p w14:paraId="28DC894D" w14:textId="77777777" w:rsidR="005D4BA0" w:rsidRPr="00D85EC9" w:rsidRDefault="005D4BA0" w:rsidP="005D4BA0">
      <w:pPr>
        <w:rPr>
          <w:rFonts w:cstheme="minorHAnsi"/>
        </w:rPr>
      </w:pPr>
      <w:r w:rsidRPr="00D85EC9">
        <w:rPr>
          <w:rFonts w:cstheme="minorHAnsi"/>
        </w:rPr>
        <w:t xml:space="preserve">Management of heart failure in ACHD patients is important to reduce deaths, need for transplantations, reduce comorbidities, need for hospitalization, and improve quality of life. Similar to this study, a multidisciplinary individualistic approach is needed when determining CRT placement in ACHD patients until additional data is available.   </w:t>
      </w:r>
    </w:p>
    <w:p w14:paraId="75C94B53"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F96BC4"/>
    <w:multiLevelType w:val="hybridMultilevel"/>
    <w:tmpl w:val="061486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A0"/>
    <w:rsid w:val="001B2259"/>
    <w:rsid w:val="0046130C"/>
    <w:rsid w:val="005C205F"/>
    <w:rsid w:val="005D4BA0"/>
    <w:rsid w:val="00644A57"/>
    <w:rsid w:val="006500F9"/>
    <w:rsid w:val="00650D5F"/>
    <w:rsid w:val="009C46DB"/>
    <w:rsid w:val="00AE387B"/>
    <w:rsid w:val="00B53A6D"/>
    <w:rsid w:val="00BD7308"/>
    <w:rsid w:val="00D23640"/>
    <w:rsid w:val="00DD1F25"/>
    <w:rsid w:val="00F31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6BB26"/>
  <w15:chartTrackingRefBased/>
  <w15:docId w15:val="{680DFE06-B158-4AFE-A39F-DFD1D4A6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A0"/>
  </w:style>
  <w:style w:type="paragraph" w:styleId="Heading1">
    <w:name w:val="heading 1"/>
    <w:basedOn w:val="Normal"/>
    <w:next w:val="Normal"/>
    <w:link w:val="Heading1Char"/>
    <w:uiPriority w:val="9"/>
    <w:qFormat/>
    <w:rsid w:val="005D4B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BA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D4BA0"/>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5D4BA0"/>
    <w:rPr>
      <w:color w:val="0000FF"/>
      <w:u w:val="single"/>
    </w:rPr>
  </w:style>
  <w:style w:type="paragraph" w:customStyle="1" w:styleId="p1">
    <w:name w:val="p1"/>
    <w:basedOn w:val="Normal"/>
    <w:rsid w:val="005D4BA0"/>
    <w:pPr>
      <w:spacing w:after="0" w:line="240" w:lineRule="auto"/>
    </w:pPr>
    <w:rPr>
      <w:rFonts w:ascii="Helvetica" w:hAnsi="Helvetica"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tiff"/><Relationship Id="rId7" Type="http://schemas.openxmlformats.org/officeDocument/2006/relationships/hyperlink" Target="https://www.ncbi.nlm.nih.gov/pubmed?linkname=pubmed_pubmed&amp;from_uid=31818210" TargetMode="Externa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hyperlink" Target="https://www.ncbi.nlm.nih.gov/pubmed/31818210" TargetMode="Externa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hyperlink" Target="https://www.ahajournals.org/reader/content/10.1161/JAHA.119.012744/format/epub/EPUB/xhtml/index.xhtml" TargetMode="Externa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tiff"/><Relationship Id="rId2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5595DA-50C8-4B49-BE49-961F9D5478B7}" type="doc">
      <dgm:prSet loTypeId="urn:microsoft.com/office/officeart/2005/8/layout/orgChart1" loCatId="" qsTypeId="urn:microsoft.com/office/officeart/2005/8/quickstyle/3d3" qsCatId="3D" csTypeId="urn:microsoft.com/office/officeart/2005/8/colors/accent0_1" csCatId="mainScheme" phldr="1"/>
      <dgm:spPr/>
      <dgm:t>
        <a:bodyPr/>
        <a:lstStyle/>
        <a:p>
          <a:endParaRPr lang="en-US"/>
        </a:p>
      </dgm:t>
    </dgm:pt>
    <dgm:pt modelId="{C5F86220-E0E7-7E4C-95FF-C873BBDD09FD}">
      <dgm:prSet phldrT="[Text]" custT="1"/>
      <dgm:spPr/>
      <dgm:t>
        <a:bodyPr/>
        <a:lstStyle/>
        <a:p>
          <a:r>
            <a:rPr lang="en-US" sz="1200" dirty="0"/>
            <a:t>N=70</a:t>
          </a:r>
        </a:p>
        <a:p>
          <a:r>
            <a:rPr lang="en-US" sz="1200" dirty="0"/>
            <a:t>Systemic Ventricular Dysfunction and CRT</a:t>
          </a:r>
        </a:p>
        <a:p>
          <a:endParaRPr lang="en-US" sz="700" dirty="0"/>
        </a:p>
      </dgm:t>
    </dgm:pt>
    <dgm:pt modelId="{2355F508-AE55-004C-9059-56B124969703}" type="parTrans" cxnId="{C2B5400B-DD98-FE4F-96A8-F8C83807E376}">
      <dgm:prSet/>
      <dgm:spPr/>
      <dgm:t>
        <a:bodyPr/>
        <a:lstStyle/>
        <a:p>
          <a:endParaRPr lang="en-US"/>
        </a:p>
      </dgm:t>
    </dgm:pt>
    <dgm:pt modelId="{DF244DC0-A124-634A-93E8-2E6195BE1B0F}" type="sibTrans" cxnId="{C2B5400B-DD98-FE4F-96A8-F8C83807E376}">
      <dgm:prSet/>
      <dgm:spPr/>
      <dgm:t>
        <a:bodyPr/>
        <a:lstStyle/>
        <a:p>
          <a:endParaRPr lang="en-US"/>
        </a:p>
      </dgm:t>
    </dgm:pt>
    <dgm:pt modelId="{B9D5B3FB-CCF3-0F4F-8699-7C789F95A343}" type="asst">
      <dgm:prSet phldrT="[Text]" custT="1"/>
      <dgm:spPr/>
      <dgm:t>
        <a:bodyPr/>
        <a:lstStyle/>
        <a:p>
          <a:r>
            <a:rPr lang="en-US" sz="1200" dirty="0"/>
            <a:t>N=16</a:t>
          </a:r>
        </a:p>
        <a:p>
          <a:r>
            <a:rPr lang="en-US" sz="1200" dirty="0"/>
            <a:t>Excluded for:</a:t>
          </a:r>
        </a:p>
        <a:p>
          <a:r>
            <a:rPr lang="en-US" sz="1200" dirty="0" err="1"/>
            <a:t>BiV</a:t>
          </a:r>
          <a:r>
            <a:rPr lang="en-US" sz="1200" dirty="0"/>
            <a:t> Pacing &lt;90% (8)</a:t>
          </a:r>
        </a:p>
        <a:p>
          <a:r>
            <a:rPr lang="en-US" sz="1200" dirty="0"/>
            <a:t>Lack of Imaging (8)</a:t>
          </a:r>
        </a:p>
        <a:p>
          <a:r>
            <a:rPr lang="en-US" sz="1200" dirty="0"/>
            <a:t>(Not Different from Study Cohort)</a:t>
          </a:r>
        </a:p>
        <a:p>
          <a:r>
            <a:rPr lang="en-US" sz="700" dirty="0"/>
            <a:t> </a:t>
          </a:r>
        </a:p>
      </dgm:t>
    </dgm:pt>
    <dgm:pt modelId="{5FAB9FB3-2F5F-5645-AA15-C7DD49A648FF}" type="parTrans" cxnId="{730FC01F-B82F-B346-933A-7D267BE422E5}">
      <dgm:prSet/>
      <dgm:spPr/>
      <dgm:t>
        <a:bodyPr/>
        <a:lstStyle/>
        <a:p>
          <a:endParaRPr lang="en-US"/>
        </a:p>
      </dgm:t>
    </dgm:pt>
    <dgm:pt modelId="{48ADE4F6-1592-4E4D-9A70-0342B0C9827A}" type="sibTrans" cxnId="{730FC01F-B82F-B346-933A-7D267BE422E5}">
      <dgm:prSet/>
      <dgm:spPr/>
      <dgm:t>
        <a:bodyPr/>
        <a:lstStyle/>
        <a:p>
          <a:endParaRPr lang="en-US"/>
        </a:p>
      </dgm:t>
    </dgm:pt>
    <dgm:pt modelId="{7967BCCE-D788-884B-8343-FAE119CBFEAE}">
      <dgm:prSet phldrT="[Text]" custT="1"/>
      <dgm:spPr/>
      <dgm:t>
        <a:bodyPr/>
        <a:lstStyle/>
        <a:p>
          <a:r>
            <a:rPr lang="en-US" sz="1200" dirty="0"/>
            <a:t>N=54</a:t>
          </a:r>
        </a:p>
        <a:p>
          <a:r>
            <a:rPr lang="en-US" sz="1200" dirty="0"/>
            <a:t>Systemic Ventricular Dysfunction and CRT with </a:t>
          </a:r>
          <a:r>
            <a:rPr lang="en-US" sz="1200" dirty="0" err="1"/>
            <a:t>BiV</a:t>
          </a:r>
          <a:r>
            <a:rPr lang="en-US" sz="1200" dirty="0"/>
            <a:t> Pacing&gt;90%</a:t>
          </a:r>
        </a:p>
        <a:p>
          <a:endParaRPr lang="en-US" sz="700" dirty="0"/>
        </a:p>
      </dgm:t>
    </dgm:pt>
    <dgm:pt modelId="{99F40075-3910-0E4A-A04E-90FFAE08B98B}" type="parTrans" cxnId="{19F61410-C99C-9241-8F65-2005B7AE83EA}">
      <dgm:prSet/>
      <dgm:spPr/>
      <dgm:t>
        <a:bodyPr/>
        <a:lstStyle/>
        <a:p>
          <a:endParaRPr lang="en-US"/>
        </a:p>
      </dgm:t>
    </dgm:pt>
    <dgm:pt modelId="{7A30C5BF-0B45-D545-95A6-541EAB2E4444}" type="sibTrans" cxnId="{19F61410-C99C-9241-8F65-2005B7AE83EA}">
      <dgm:prSet/>
      <dgm:spPr/>
      <dgm:t>
        <a:bodyPr/>
        <a:lstStyle/>
        <a:p>
          <a:endParaRPr lang="en-US"/>
        </a:p>
      </dgm:t>
    </dgm:pt>
    <dgm:pt modelId="{36478DA5-9B01-4442-898F-C588C21073E0}">
      <dgm:prSet custT="1"/>
      <dgm:spPr/>
      <dgm:t>
        <a:bodyPr/>
        <a:lstStyle/>
        <a:p>
          <a:r>
            <a:rPr lang="en-US" sz="1200" dirty="0"/>
            <a:t>N=16</a:t>
          </a:r>
        </a:p>
        <a:p>
          <a:r>
            <a:rPr lang="en-US" sz="1200" dirty="0"/>
            <a:t>Systemic RV</a:t>
          </a:r>
        </a:p>
      </dgm:t>
    </dgm:pt>
    <dgm:pt modelId="{A72E8D33-1E60-0B4D-ACD4-00DFE624D406}" type="parTrans" cxnId="{61FFCCE4-210B-6E44-989F-84C51F0D91F2}">
      <dgm:prSet/>
      <dgm:spPr/>
      <dgm:t>
        <a:bodyPr/>
        <a:lstStyle/>
        <a:p>
          <a:endParaRPr lang="en-US"/>
        </a:p>
      </dgm:t>
    </dgm:pt>
    <dgm:pt modelId="{86E47789-B7AA-2B4E-B505-C71FE436D838}" type="sibTrans" cxnId="{61FFCCE4-210B-6E44-989F-84C51F0D91F2}">
      <dgm:prSet/>
      <dgm:spPr/>
      <dgm:t>
        <a:bodyPr/>
        <a:lstStyle/>
        <a:p>
          <a:endParaRPr lang="en-US"/>
        </a:p>
      </dgm:t>
    </dgm:pt>
    <dgm:pt modelId="{664612B2-0136-C241-97E4-5E8D297B79A9}">
      <dgm:prSet custT="1"/>
      <dgm:spPr/>
      <dgm:t>
        <a:bodyPr/>
        <a:lstStyle/>
        <a:p>
          <a:r>
            <a:rPr lang="en-US" sz="1200" dirty="0"/>
            <a:t>N=39 </a:t>
          </a:r>
        </a:p>
        <a:p>
          <a:r>
            <a:rPr lang="en-US" sz="1200" dirty="0"/>
            <a:t>Systemic LV</a:t>
          </a:r>
        </a:p>
      </dgm:t>
    </dgm:pt>
    <dgm:pt modelId="{823956D5-1372-B042-9B7B-6BE27EF3EB3D}" type="parTrans" cxnId="{6C6C2270-A486-814A-9C86-1245A1A23E01}">
      <dgm:prSet/>
      <dgm:spPr/>
      <dgm:t>
        <a:bodyPr/>
        <a:lstStyle/>
        <a:p>
          <a:endParaRPr lang="en-US"/>
        </a:p>
      </dgm:t>
    </dgm:pt>
    <dgm:pt modelId="{4FD17837-C825-1A4B-A58A-547CCDFADF59}" type="sibTrans" cxnId="{6C6C2270-A486-814A-9C86-1245A1A23E01}">
      <dgm:prSet/>
      <dgm:spPr/>
      <dgm:t>
        <a:bodyPr/>
        <a:lstStyle/>
        <a:p>
          <a:endParaRPr lang="en-US"/>
        </a:p>
      </dgm:t>
    </dgm:pt>
    <dgm:pt modelId="{1D8AF2C2-E9E1-104C-8899-EA03A631C8AF}">
      <dgm:prSet custT="1"/>
      <dgm:spPr/>
      <dgm:t>
        <a:bodyPr/>
        <a:lstStyle/>
        <a:p>
          <a:endParaRPr lang="en-US" sz="1700" dirty="0"/>
        </a:p>
        <a:p>
          <a:r>
            <a:rPr lang="en-US" sz="1200" dirty="0" err="1"/>
            <a:t>ccTGA</a:t>
          </a:r>
          <a:r>
            <a:rPr lang="en-US" sz="1200" dirty="0"/>
            <a:t> (13)</a:t>
          </a:r>
        </a:p>
        <a:p>
          <a:r>
            <a:rPr lang="en-US" sz="1200" dirty="0" err="1"/>
            <a:t>dTGA</a:t>
          </a:r>
          <a:r>
            <a:rPr lang="en-US" sz="1200" dirty="0"/>
            <a:t> – Mustard (2)</a:t>
          </a:r>
        </a:p>
      </dgm:t>
    </dgm:pt>
    <dgm:pt modelId="{6FE5B4EA-5BC1-0047-BFD2-6A9E0EC9331E}" type="parTrans" cxnId="{3DD1A211-ECDE-2A4B-816E-94EECCC1B589}">
      <dgm:prSet/>
      <dgm:spPr/>
      <dgm:t>
        <a:bodyPr/>
        <a:lstStyle/>
        <a:p>
          <a:endParaRPr lang="en-US"/>
        </a:p>
      </dgm:t>
    </dgm:pt>
    <dgm:pt modelId="{96B299DB-A4EE-3B49-8900-6A20B4A7B70B}" type="sibTrans" cxnId="{3DD1A211-ECDE-2A4B-816E-94EECCC1B589}">
      <dgm:prSet/>
      <dgm:spPr/>
      <dgm:t>
        <a:bodyPr/>
        <a:lstStyle/>
        <a:p>
          <a:endParaRPr lang="en-US"/>
        </a:p>
      </dgm:t>
    </dgm:pt>
    <dgm:pt modelId="{6BC84C33-C09F-A54A-8C76-E536392B9C66}">
      <dgm:prSet custT="1"/>
      <dgm:spPr/>
      <dgm:t>
        <a:bodyPr/>
        <a:lstStyle/>
        <a:p>
          <a:r>
            <a:rPr lang="en-US" sz="1200" dirty="0"/>
            <a:t>LVOT Lesions (17)</a:t>
          </a:r>
        </a:p>
        <a:p>
          <a:r>
            <a:rPr lang="en-US" sz="1200" dirty="0"/>
            <a:t>TOF (11)</a:t>
          </a:r>
        </a:p>
        <a:p>
          <a:r>
            <a:rPr lang="en-US" sz="1200" dirty="0"/>
            <a:t>RVOT Lesions (5)</a:t>
          </a:r>
        </a:p>
        <a:p>
          <a:r>
            <a:rPr lang="en-US" sz="1200" dirty="0"/>
            <a:t>AV Septal Defects (5)</a:t>
          </a:r>
        </a:p>
        <a:p>
          <a:r>
            <a:rPr lang="en-US" sz="1200" dirty="0"/>
            <a:t>ASD with RAA (1)</a:t>
          </a:r>
        </a:p>
      </dgm:t>
    </dgm:pt>
    <dgm:pt modelId="{909A8D56-C0F6-234C-88FE-D04BED950B1A}" type="parTrans" cxnId="{9A13770F-F1BD-BD4D-9AE0-757DB441BD16}">
      <dgm:prSet/>
      <dgm:spPr/>
      <dgm:t>
        <a:bodyPr/>
        <a:lstStyle/>
        <a:p>
          <a:endParaRPr lang="en-US"/>
        </a:p>
      </dgm:t>
    </dgm:pt>
    <dgm:pt modelId="{27CF8B25-4F5E-9645-B74E-36D8741C1537}" type="sibTrans" cxnId="{9A13770F-F1BD-BD4D-9AE0-757DB441BD16}">
      <dgm:prSet/>
      <dgm:spPr/>
      <dgm:t>
        <a:bodyPr/>
        <a:lstStyle/>
        <a:p>
          <a:endParaRPr lang="en-US"/>
        </a:p>
      </dgm:t>
    </dgm:pt>
    <dgm:pt modelId="{DC305650-8B81-3741-85AD-C7531958A9A1}" type="pres">
      <dgm:prSet presAssocID="{7F5595DA-50C8-4B49-BE49-961F9D5478B7}" presName="hierChild1" presStyleCnt="0">
        <dgm:presLayoutVars>
          <dgm:orgChart val="1"/>
          <dgm:chPref val="1"/>
          <dgm:dir/>
          <dgm:animOne val="branch"/>
          <dgm:animLvl val="lvl"/>
          <dgm:resizeHandles/>
        </dgm:presLayoutVars>
      </dgm:prSet>
      <dgm:spPr/>
    </dgm:pt>
    <dgm:pt modelId="{18B41C23-FEF8-9B4B-90BE-7094FC3E90B4}" type="pres">
      <dgm:prSet presAssocID="{C5F86220-E0E7-7E4C-95FF-C873BBDD09FD}" presName="hierRoot1" presStyleCnt="0">
        <dgm:presLayoutVars>
          <dgm:hierBranch val="init"/>
        </dgm:presLayoutVars>
      </dgm:prSet>
      <dgm:spPr/>
    </dgm:pt>
    <dgm:pt modelId="{7B79E7B4-7049-424C-B758-490DA7C6032F}" type="pres">
      <dgm:prSet presAssocID="{C5F86220-E0E7-7E4C-95FF-C873BBDD09FD}" presName="rootComposite1" presStyleCnt="0"/>
      <dgm:spPr/>
    </dgm:pt>
    <dgm:pt modelId="{14AC2F36-2A5B-5449-85B0-B3BA5FD62C84}" type="pres">
      <dgm:prSet presAssocID="{C5F86220-E0E7-7E4C-95FF-C873BBDD09FD}" presName="rootText1" presStyleLbl="node0" presStyleIdx="0" presStyleCnt="1" custScaleX="241462">
        <dgm:presLayoutVars>
          <dgm:chPref val="3"/>
        </dgm:presLayoutVars>
      </dgm:prSet>
      <dgm:spPr/>
    </dgm:pt>
    <dgm:pt modelId="{EA31B1DA-61AB-1D4F-B857-902F7203BDFB}" type="pres">
      <dgm:prSet presAssocID="{C5F86220-E0E7-7E4C-95FF-C873BBDD09FD}" presName="rootConnector1" presStyleLbl="node1" presStyleIdx="0" presStyleCnt="0"/>
      <dgm:spPr/>
    </dgm:pt>
    <dgm:pt modelId="{7E1446FD-71D5-A543-880F-7407B4529FC4}" type="pres">
      <dgm:prSet presAssocID="{C5F86220-E0E7-7E4C-95FF-C873BBDD09FD}" presName="hierChild2" presStyleCnt="0"/>
      <dgm:spPr/>
    </dgm:pt>
    <dgm:pt modelId="{A3D2FE7A-E6D3-0147-BBC1-0408F09053F4}" type="pres">
      <dgm:prSet presAssocID="{99F40075-3910-0E4A-A04E-90FFAE08B98B}" presName="Name37" presStyleLbl="parChTrans1D2" presStyleIdx="0" presStyleCnt="2"/>
      <dgm:spPr/>
    </dgm:pt>
    <dgm:pt modelId="{C1A1FAD8-62DD-0446-A61C-282EB22996C4}" type="pres">
      <dgm:prSet presAssocID="{7967BCCE-D788-884B-8343-FAE119CBFEAE}" presName="hierRoot2" presStyleCnt="0">
        <dgm:presLayoutVars>
          <dgm:hierBranch val="init"/>
        </dgm:presLayoutVars>
      </dgm:prSet>
      <dgm:spPr/>
    </dgm:pt>
    <dgm:pt modelId="{2C974A75-2658-E648-9624-8D89FEBB93C5}" type="pres">
      <dgm:prSet presAssocID="{7967BCCE-D788-884B-8343-FAE119CBFEAE}" presName="rootComposite" presStyleCnt="0"/>
      <dgm:spPr/>
    </dgm:pt>
    <dgm:pt modelId="{C18BC823-0E6D-7E4A-90E9-CB0CEF31E53F}" type="pres">
      <dgm:prSet presAssocID="{7967BCCE-D788-884B-8343-FAE119CBFEAE}" presName="rootText" presStyleLbl="node2" presStyleIdx="0" presStyleCnt="1" custScaleX="401487" custScaleY="91205" custLinFactNeighborX="-273" custLinFactNeighborY="-24527">
        <dgm:presLayoutVars>
          <dgm:chPref val="3"/>
        </dgm:presLayoutVars>
      </dgm:prSet>
      <dgm:spPr/>
    </dgm:pt>
    <dgm:pt modelId="{216B35A3-EE34-834C-B0E1-F87BBD87C42B}" type="pres">
      <dgm:prSet presAssocID="{7967BCCE-D788-884B-8343-FAE119CBFEAE}" presName="rootConnector" presStyleLbl="node2" presStyleIdx="0" presStyleCnt="1"/>
      <dgm:spPr/>
    </dgm:pt>
    <dgm:pt modelId="{C13E3CB3-AF41-7A4F-B878-54C15AE73046}" type="pres">
      <dgm:prSet presAssocID="{7967BCCE-D788-884B-8343-FAE119CBFEAE}" presName="hierChild4" presStyleCnt="0"/>
      <dgm:spPr/>
    </dgm:pt>
    <dgm:pt modelId="{6197E778-243B-2243-AB77-A40A9F6AA36C}" type="pres">
      <dgm:prSet presAssocID="{A72E8D33-1E60-0B4D-ACD4-00DFE624D406}" presName="Name37" presStyleLbl="parChTrans1D3" presStyleIdx="0" presStyleCnt="2"/>
      <dgm:spPr/>
    </dgm:pt>
    <dgm:pt modelId="{8B713A12-402E-2C47-8E9F-E4188AF925D4}" type="pres">
      <dgm:prSet presAssocID="{36478DA5-9B01-4442-898F-C588C21073E0}" presName="hierRoot2" presStyleCnt="0">
        <dgm:presLayoutVars>
          <dgm:hierBranch val="init"/>
        </dgm:presLayoutVars>
      </dgm:prSet>
      <dgm:spPr/>
    </dgm:pt>
    <dgm:pt modelId="{A1F08603-1647-894B-9E20-7030AF36D437}" type="pres">
      <dgm:prSet presAssocID="{36478DA5-9B01-4442-898F-C588C21073E0}" presName="rootComposite" presStyleCnt="0"/>
      <dgm:spPr/>
    </dgm:pt>
    <dgm:pt modelId="{C3B42F72-A090-4E4C-A96C-D00BC74455A0}" type="pres">
      <dgm:prSet presAssocID="{36478DA5-9B01-4442-898F-C588C21073E0}" presName="rootText" presStyleLbl="node3" presStyleIdx="0" presStyleCnt="2" custScaleX="198592" custLinFactX="100000" custLinFactNeighborX="151321" custLinFactNeighborY="-34005">
        <dgm:presLayoutVars>
          <dgm:chPref val="3"/>
        </dgm:presLayoutVars>
      </dgm:prSet>
      <dgm:spPr/>
    </dgm:pt>
    <dgm:pt modelId="{43C45289-B701-7047-BFD5-1145BF395E64}" type="pres">
      <dgm:prSet presAssocID="{36478DA5-9B01-4442-898F-C588C21073E0}" presName="rootConnector" presStyleLbl="node3" presStyleIdx="0" presStyleCnt="2"/>
      <dgm:spPr/>
    </dgm:pt>
    <dgm:pt modelId="{CFF85A66-D503-D94A-BEAB-F2586B5D9CFA}" type="pres">
      <dgm:prSet presAssocID="{36478DA5-9B01-4442-898F-C588C21073E0}" presName="hierChild4" presStyleCnt="0"/>
      <dgm:spPr/>
    </dgm:pt>
    <dgm:pt modelId="{C1EB4325-308E-964F-87F1-49F9A8F133C3}" type="pres">
      <dgm:prSet presAssocID="{6FE5B4EA-5BC1-0047-BFD2-6A9E0EC9331E}" presName="Name37" presStyleLbl="parChTrans1D4" presStyleIdx="0" presStyleCnt="2"/>
      <dgm:spPr/>
    </dgm:pt>
    <dgm:pt modelId="{4F64AEF7-E91B-BE4D-B736-A196B45C7FE5}" type="pres">
      <dgm:prSet presAssocID="{1D8AF2C2-E9E1-104C-8899-EA03A631C8AF}" presName="hierRoot2" presStyleCnt="0">
        <dgm:presLayoutVars>
          <dgm:hierBranch val="init"/>
        </dgm:presLayoutVars>
      </dgm:prSet>
      <dgm:spPr/>
    </dgm:pt>
    <dgm:pt modelId="{CCC66CE9-FB04-DB42-A0BB-9EA18A65D82B}" type="pres">
      <dgm:prSet presAssocID="{1D8AF2C2-E9E1-104C-8899-EA03A631C8AF}" presName="rootComposite" presStyleCnt="0"/>
      <dgm:spPr/>
    </dgm:pt>
    <dgm:pt modelId="{6F0E7BA6-F8C4-7E4D-B0DB-7CC5FC20D2D3}" type="pres">
      <dgm:prSet presAssocID="{1D8AF2C2-E9E1-104C-8899-EA03A631C8AF}" presName="rootText" presStyleLbl="node4" presStyleIdx="0" presStyleCnt="2" custScaleX="180765" custScaleY="179296" custLinFactX="100000" custLinFactNeighborX="115007" custLinFactNeighborY="-35324">
        <dgm:presLayoutVars>
          <dgm:chPref val="3"/>
        </dgm:presLayoutVars>
      </dgm:prSet>
      <dgm:spPr/>
    </dgm:pt>
    <dgm:pt modelId="{5BBF474F-4414-C743-9F68-B0B0F9A34158}" type="pres">
      <dgm:prSet presAssocID="{1D8AF2C2-E9E1-104C-8899-EA03A631C8AF}" presName="rootConnector" presStyleLbl="node4" presStyleIdx="0" presStyleCnt="2"/>
      <dgm:spPr/>
    </dgm:pt>
    <dgm:pt modelId="{D3D1A5CE-11C5-5341-B0EC-ECE611014213}" type="pres">
      <dgm:prSet presAssocID="{1D8AF2C2-E9E1-104C-8899-EA03A631C8AF}" presName="hierChild4" presStyleCnt="0"/>
      <dgm:spPr/>
    </dgm:pt>
    <dgm:pt modelId="{59E3DD13-6518-314E-A682-17BD88E23DF7}" type="pres">
      <dgm:prSet presAssocID="{1D8AF2C2-E9E1-104C-8899-EA03A631C8AF}" presName="hierChild5" presStyleCnt="0"/>
      <dgm:spPr/>
    </dgm:pt>
    <dgm:pt modelId="{6C906E04-8539-9848-A493-A7FE8E515D08}" type="pres">
      <dgm:prSet presAssocID="{36478DA5-9B01-4442-898F-C588C21073E0}" presName="hierChild5" presStyleCnt="0"/>
      <dgm:spPr/>
    </dgm:pt>
    <dgm:pt modelId="{BCDF37D8-ED46-4E48-BE9B-D8AA818E3772}" type="pres">
      <dgm:prSet presAssocID="{823956D5-1372-B042-9B7B-6BE27EF3EB3D}" presName="Name37" presStyleLbl="parChTrans1D3" presStyleIdx="1" presStyleCnt="2"/>
      <dgm:spPr/>
    </dgm:pt>
    <dgm:pt modelId="{4E0562C8-B9EA-B24D-B242-57009DC9C86C}" type="pres">
      <dgm:prSet presAssocID="{664612B2-0136-C241-97E4-5E8D297B79A9}" presName="hierRoot2" presStyleCnt="0">
        <dgm:presLayoutVars>
          <dgm:hierBranch val="init"/>
        </dgm:presLayoutVars>
      </dgm:prSet>
      <dgm:spPr/>
    </dgm:pt>
    <dgm:pt modelId="{691478D5-0BA0-EC4B-9A3B-F1957EED85F8}" type="pres">
      <dgm:prSet presAssocID="{664612B2-0136-C241-97E4-5E8D297B79A9}" presName="rootComposite" presStyleCnt="0"/>
      <dgm:spPr/>
    </dgm:pt>
    <dgm:pt modelId="{E24D1BA1-54A7-EB41-951A-EDBD95A85CD1}" type="pres">
      <dgm:prSet presAssocID="{664612B2-0136-C241-97E4-5E8D297B79A9}" presName="rootText" presStyleLbl="node3" presStyleIdx="1" presStyleCnt="2" custScaleX="205997" custLinFactX="-100000" custLinFactNeighborX="-140199" custLinFactNeighborY="-34004">
        <dgm:presLayoutVars>
          <dgm:chPref val="3"/>
        </dgm:presLayoutVars>
      </dgm:prSet>
      <dgm:spPr/>
    </dgm:pt>
    <dgm:pt modelId="{0C871E92-AD82-2F40-8D5C-0CF9403E6382}" type="pres">
      <dgm:prSet presAssocID="{664612B2-0136-C241-97E4-5E8D297B79A9}" presName="rootConnector" presStyleLbl="node3" presStyleIdx="1" presStyleCnt="2"/>
      <dgm:spPr/>
    </dgm:pt>
    <dgm:pt modelId="{29DDCCC6-EA25-0A48-8A63-052E75BB521F}" type="pres">
      <dgm:prSet presAssocID="{664612B2-0136-C241-97E4-5E8D297B79A9}" presName="hierChild4" presStyleCnt="0"/>
      <dgm:spPr/>
    </dgm:pt>
    <dgm:pt modelId="{AB8BB00C-E4C4-7248-B97F-764C71AA1889}" type="pres">
      <dgm:prSet presAssocID="{909A8D56-C0F6-234C-88FE-D04BED950B1A}" presName="Name37" presStyleLbl="parChTrans1D4" presStyleIdx="1" presStyleCnt="2"/>
      <dgm:spPr/>
    </dgm:pt>
    <dgm:pt modelId="{1F09C79E-5C53-A54D-BEC0-1D5F80D8F80B}" type="pres">
      <dgm:prSet presAssocID="{6BC84C33-C09F-A54A-8C76-E536392B9C66}" presName="hierRoot2" presStyleCnt="0">
        <dgm:presLayoutVars>
          <dgm:hierBranch val="init"/>
        </dgm:presLayoutVars>
      </dgm:prSet>
      <dgm:spPr/>
    </dgm:pt>
    <dgm:pt modelId="{C0F0A7C9-4CAF-9D4E-8715-FEC082C1F27C}" type="pres">
      <dgm:prSet presAssocID="{6BC84C33-C09F-A54A-8C76-E536392B9C66}" presName="rootComposite" presStyleCnt="0"/>
      <dgm:spPr/>
    </dgm:pt>
    <dgm:pt modelId="{50DA85EF-DFC6-134D-AFD8-684885EE3373}" type="pres">
      <dgm:prSet presAssocID="{6BC84C33-C09F-A54A-8C76-E536392B9C66}" presName="rootText" presStyleLbl="node4" presStyleIdx="1" presStyleCnt="2" custScaleX="188735" custScaleY="188315" custLinFactX="-100000" custLinFactNeighborX="-174257" custLinFactNeighborY="-42390">
        <dgm:presLayoutVars>
          <dgm:chPref val="3"/>
        </dgm:presLayoutVars>
      </dgm:prSet>
      <dgm:spPr/>
    </dgm:pt>
    <dgm:pt modelId="{F0A7A547-EF9B-DE40-9D3D-267677CA0020}" type="pres">
      <dgm:prSet presAssocID="{6BC84C33-C09F-A54A-8C76-E536392B9C66}" presName="rootConnector" presStyleLbl="node4" presStyleIdx="1" presStyleCnt="2"/>
      <dgm:spPr/>
    </dgm:pt>
    <dgm:pt modelId="{F4B7DCC8-F6C4-5D46-82BC-AD18CA7507F5}" type="pres">
      <dgm:prSet presAssocID="{6BC84C33-C09F-A54A-8C76-E536392B9C66}" presName="hierChild4" presStyleCnt="0"/>
      <dgm:spPr/>
    </dgm:pt>
    <dgm:pt modelId="{89DD46A6-0A14-1145-93DD-D36B610F86DD}" type="pres">
      <dgm:prSet presAssocID="{6BC84C33-C09F-A54A-8C76-E536392B9C66}" presName="hierChild5" presStyleCnt="0"/>
      <dgm:spPr/>
    </dgm:pt>
    <dgm:pt modelId="{EC33D7A0-1028-C949-9114-A6DE40B4859B}" type="pres">
      <dgm:prSet presAssocID="{664612B2-0136-C241-97E4-5E8D297B79A9}" presName="hierChild5" presStyleCnt="0"/>
      <dgm:spPr/>
    </dgm:pt>
    <dgm:pt modelId="{4871044C-A7D5-7048-90E9-71F5E820B0A3}" type="pres">
      <dgm:prSet presAssocID="{7967BCCE-D788-884B-8343-FAE119CBFEAE}" presName="hierChild5" presStyleCnt="0"/>
      <dgm:spPr/>
    </dgm:pt>
    <dgm:pt modelId="{5799E993-44D2-BF4F-8272-E517B2CEEFE0}" type="pres">
      <dgm:prSet presAssocID="{C5F86220-E0E7-7E4C-95FF-C873BBDD09FD}" presName="hierChild3" presStyleCnt="0"/>
      <dgm:spPr/>
    </dgm:pt>
    <dgm:pt modelId="{33512CA8-21C4-C145-B4EC-569A3A5D9ECD}" type="pres">
      <dgm:prSet presAssocID="{5FAB9FB3-2F5F-5645-AA15-C7DD49A648FF}" presName="Name111" presStyleLbl="parChTrans1D2" presStyleIdx="1" presStyleCnt="2"/>
      <dgm:spPr/>
    </dgm:pt>
    <dgm:pt modelId="{280A884D-496E-B649-BE43-E1E4467C250E}" type="pres">
      <dgm:prSet presAssocID="{B9D5B3FB-CCF3-0F4F-8699-7C789F95A343}" presName="hierRoot3" presStyleCnt="0">
        <dgm:presLayoutVars>
          <dgm:hierBranch val="init"/>
        </dgm:presLayoutVars>
      </dgm:prSet>
      <dgm:spPr/>
    </dgm:pt>
    <dgm:pt modelId="{84EED71C-8BA9-CA4F-88E3-B22152504A14}" type="pres">
      <dgm:prSet presAssocID="{B9D5B3FB-CCF3-0F4F-8699-7C789F95A343}" presName="rootComposite3" presStyleCnt="0"/>
      <dgm:spPr/>
    </dgm:pt>
    <dgm:pt modelId="{F374007B-31F5-3240-B1E4-C7ECD666FFDF}" type="pres">
      <dgm:prSet presAssocID="{B9D5B3FB-CCF3-0F4F-8699-7C789F95A343}" presName="rootText3" presStyleLbl="asst1" presStyleIdx="0" presStyleCnt="1" custScaleX="192408" custScaleY="232044">
        <dgm:presLayoutVars>
          <dgm:chPref val="3"/>
        </dgm:presLayoutVars>
      </dgm:prSet>
      <dgm:spPr/>
    </dgm:pt>
    <dgm:pt modelId="{01B1291B-5749-0642-886A-0EE049087112}" type="pres">
      <dgm:prSet presAssocID="{B9D5B3FB-CCF3-0F4F-8699-7C789F95A343}" presName="rootConnector3" presStyleLbl="asst1" presStyleIdx="0" presStyleCnt="1"/>
      <dgm:spPr/>
    </dgm:pt>
    <dgm:pt modelId="{8BA3E788-515D-7B4C-870B-3FDC7CE21069}" type="pres">
      <dgm:prSet presAssocID="{B9D5B3FB-CCF3-0F4F-8699-7C789F95A343}" presName="hierChild6" presStyleCnt="0"/>
      <dgm:spPr/>
    </dgm:pt>
    <dgm:pt modelId="{12D8DCE0-13F5-CE4E-BE92-BE7D56A3B7D1}" type="pres">
      <dgm:prSet presAssocID="{B9D5B3FB-CCF3-0F4F-8699-7C789F95A343}" presName="hierChild7" presStyleCnt="0"/>
      <dgm:spPr/>
    </dgm:pt>
  </dgm:ptLst>
  <dgm:cxnLst>
    <dgm:cxn modelId="{19ACBB04-4C72-4643-9D05-6D70A6666C1F}" type="presOf" srcId="{6FE5B4EA-5BC1-0047-BFD2-6A9E0EC9331E}" destId="{C1EB4325-308E-964F-87F1-49F9A8F133C3}" srcOrd="0" destOrd="0" presId="urn:microsoft.com/office/officeart/2005/8/layout/orgChart1"/>
    <dgm:cxn modelId="{1B92F10A-9EC6-A445-AC82-E5941701EA96}" type="presOf" srcId="{B9D5B3FB-CCF3-0F4F-8699-7C789F95A343}" destId="{01B1291B-5749-0642-886A-0EE049087112}" srcOrd="1" destOrd="0" presId="urn:microsoft.com/office/officeart/2005/8/layout/orgChart1"/>
    <dgm:cxn modelId="{C2B5400B-DD98-FE4F-96A8-F8C83807E376}" srcId="{7F5595DA-50C8-4B49-BE49-961F9D5478B7}" destId="{C5F86220-E0E7-7E4C-95FF-C873BBDD09FD}" srcOrd="0" destOrd="0" parTransId="{2355F508-AE55-004C-9059-56B124969703}" sibTransId="{DF244DC0-A124-634A-93E8-2E6195BE1B0F}"/>
    <dgm:cxn modelId="{9A13770F-F1BD-BD4D-9AE0-757DB441BD16}" srcId="{664612B2-0136-C241-97E4-5E8D297B79A9}" destId="{6BC84C33-C09F-A54A-8C76-E536392B9C66}" srcOrd="0" destOrd="0" parTransId="{909A8D56-C0F6-234C-88FE-D04BED950B1A}" sibTransId="{27CF8B25-4F5E-9645-B74E-36D8741C1537}"/>
    <dgm:cxn modelId="{19F61410-C99C-9241-8F65-2005B7AE83EA}" srcId="{C5F86220-E0E7-7E4C-95FF-C873BBDD09FD}" destId="{7967BCCE-D788-884B-8343-FAE119CBFEAE}" srcOrd="1" destOrd="0" parTransId="{99F40075-3910-0E4A-A04E-90FFAE08B98B}" sibTransId="{7A30C5BF-0B45-D545-95A6-541EAB2E4444}"/>
    <dgm:cxn modelId="{3DD1A211-ECDE-2A4B-816E-94EECCC1B589}" srcId="{36478DA5-9B01-4442-898F-C588C21073E0}" destId="{1D8AF2C2-E9E1-104C-8899-EA03A631C8AF}" srcOrd="0" destOrd="0" parTransId="{6FE5B4EA-5BC1-0047-BFD2-6A9E0EC9331E}" sibTransId="{96B299DB-A4EE-3B49-8900-6A20B4A7B70B}"/>
    <dgm:cxn modelId="{730FC01F-B82F-B346-933A-7D267BE422E5}" srcId="{C5F86220-E0E7-7E4C-95FF-C873BBDD09FD}" destId="{B9D5B3FB-CCF3-0F4F-8699-7C789F95A343}" srcOrd="0" destOrd="0" parTransId="{5FAB9FB3-2F5F-5645-AA15-C7DD49A648FF}" sibTransId="{48ADE4F6-1592-4E4D-9A70-0342B0C9827A}"/>
    <dgm:cxn modelId="{34A06934-6CAA-2C4A-8E41-6FEBA67762D6}" type="presOf" srcId="{36478DA5-9B01-4442-898F-C588C21073E0}" destId="{43C45289-B701-7047-BFD5-1145BF395E64}" srcOrd="1" destOrd="0" presId="urn:microsoft.com/office/officeart/2005/8/layout/orgChart1"/>
    <dgm:cxn modelId="{3E5E2A3A-D189-364A-9C84-BB635F216363}" type="presOf" srcId="{1D8AF2C2-E9E1-104C-8899-EA03A631C8AF}" destId="{5BBF474F-4414-C743-9F68-B0B0F9A34158}" srcOrd="1" destOrd="0" presId="urn:microsoft.com/office/officeart/2005/8/layout/orgChart1"/>
    <dgm:cxn modelId="{A25F233E-F089-F84C-B1B3-591BABF1E14D}" type="presOf" srcId="{5FAB9FB3-2F5F-5645-AA15-C7DD49A648FF}" destId="{33512CA8-21C4-C145-B4EC-569A3A5D9ECD}" srcOrd="0" destOrd="0" presId="urn:microsoft.com/office/officeart/2005/8/layout/orgChart1"/>
    <dgm:cxn modelId="{7C87BB43-D34B-2643-B7A3-7A23F5FE5A86}" type="presOf" srcId="{C5F86220-E0E7-7E4C-95FF-C873BBDD09FD}" destId="{14AC2F36-2A5B-5449-85B0-B3BA5FD62C84}" srcOrd="0" destOrd="0" presId="urn:microsoft.com/office/officeart/2005/8/layout/orgChart1"/>
    <dgm:cxn modelId="{30478366-F9B9-1E4D-91F4-0856E5A799C2}" type="presOf" srcId="{99F40075-3910-0E4A-A04E-90FFAE08B98B}" destId="{A3D2FE7A-E6D3-0147-BBC1-0408F09053F4}" srcOrd="0" destOrd="0" presId="urn:microsoft.com/office/officeart/2005/8/layout/orgChart1"/>
    <dgm:cxn modelId="{B88CA04F-3B77-674A-9464-4FFDE14A764F}" type="presOf" srcId="{6BC84C33-C09F-A54A-8C76-E536392B9C66}" destId="{F0A7A547-EF9B-DE40-9D3D-267677CA0020}" srcOrd="1" destOrd="0" presId="urn:microsoft.com/office/officeart/2005/8/layout/orgChart1"/>
    <dgm:cxn modelId="{6C6C2270-A486-814A-9C86-1245A1A23E01}" srcId="{7967BCCE-D788-884B-8343-FAE119CBFEAE}" destId="{664612B2-0136-C241-97E4-5E8D297B79A9}" srcOrd="1" destOrd="0" parTransId="{823956D5-1372-B042-9B7B-6BE27EF3EB3D}" sibTransId="{4FD17837-C825-1A4B-A58A-547CCDFADF59}"/>
    <dgm:cxn modelId="{6BEB0586-9EAC-9B40-9D04-014FB5E77E75}" type="presOf" srcId="{B9D5B3FB-CCF3-0F4F-8699-7C789F95A343}" destId="{F374007B-31F5-3240-B1E4-C7ECD666FFDF}" srcOrd="0" destOrd="0" presId="urn:microsoft.com/office/officeart/2005/8/layout/orgChart1"/>
    <dgm:cxn modelId="{FC7C3D88-9409-8241-8989-550C085A3F47}" type="presOf" srcId="{664612B2-0136-C241-97E4-5E8D297B79A9}" destId="{E24D1BA1-54A7-EB41-951A-EDBD95A85CD1}" srcOrd="0" destOrd="0" presId="urn:microsoft.com/office/officeart/2005/8/layout/orgChart1"/>
    <dgm:cxn modelId="{F231748F-7ABE-1C4A-96A7-6E2E9A0B3028}" type="presOf" srcId="{1D8AF2C2-E9E1-104C-8899-EA03A631C8AF}" destId="{6F0E7BA6-F8C4-7E4D-B0DB-7CC5FC20D2D3}" srcOrd="0" destOrd="0" presId="urn:microsoft.com/office/officeart/2005/8/layout/orgChart1"/>
    <dgm:cxn modelId="{7DBE51A0-41A4-1B46-BAE8-0FB95BED43B6}" type="presOf" srcId="{823956D5-1372-B042-9B7B-6BE27EF3EB3D}" destId="{BCDF37D8-ED46-4E48-BE9B-D8AA818E3772}" srcOrd="0" destOrd="0" presId="urn:microsoft.com/office/officeart/2005/8/layout/orgChart1"/>
    <dgm:cxn modelId="{750399AB-DBB6-0445-8E73-BFA4DD7F7B6B}" type="presOf" srcId="{C5F86220-E0E7-7E4C-95FF-C873BBDD09FD}" destId="{EA31B1DA-61AB-1D4F-B857-902F7203BDFB}" srcOrd="1" destOrd="0" presId="urn:microsoft.com/office/officeart/2005/8/layout/orgChart1"/>
    <dgm:cxn modelId="{5DE6DFB4-54A5-9748-AFA5-5EED8F4D5D1B}" type="presOf" srcId="{36478DA5-9B01-4442-898F-C588C21073E0}" destId="{C3B42F72-A090-4E4C-A96C-D00BC74455A0}" srcOrd="0" destOrd="0" presId="urn:microsoft.com/office/officeart/2005/8/layout/orgChart1"/>
    <dgm:cxn modelId="{D4927EB5-0EAB-D841-B14F-CD97580C6A1A}" type="presOf" srcId="{7967BCCE-D788-884B-8343-FAE119CBFEAE}" destId="{216B35A3-EE34-834C-B0E1-F87BBD87C42B}" srcOrd="1" destOrd="0" presId="urn:microsoft.com/office/officeart/2005/8/layout/orgChart1"/>
    <dgm:cxn modelId="{51CB50BA-B247-7748-A963-2CE1E662611D}" type="presOf" srcId="{909A8D56-C0F6-234C-88FE-D04BED950B1A}" destId="{AB8BB00C-E4C4-7248-B97F-764C71AA1889}" srcOrd="0" destOrd="0" presId="urn:microsoft.com/office/officeart/2005/8/layout/orgChart1"/>
    <dgm:cxn modelId="{ED8091C1-78B7-E24B-A874-FFA532D74A67}" type="presOf" srcId="{664612B2-0136-C241-97E4-5E8D297B79A9}" destId="{0C871E92-AD82-2F40-8D5C-0CF9403E6382}" srcOrd="1" destOrd="0" presId="urn:microsoft.com/office/officeart/2005/8/layout/orgChart1"/>
    <dgm:cxn modelId="{F43524DD-CA40-064D-B9D2-7A3A08D856E7}" type="presOf" srcId="{6BC84C33-C09F-A54A-8C76-E536392B9C66}" destId="{50DA85EF-DFC6-134D-AFD8-684885EE3373}" srcOrd="0" destOrd="0" presId="urn:microsoft.com/office/officeart/2005/8/layout/orgChart1"/>
    <dgm:cxn modelId="{61FFCCE4-210B-6E44-989F-84C51F0D91F2}" srcId="{7967BCCE-D788-884B-8343-FAE119CBFEAE}" destId="{36478DA5-9B01-4442-898F-C588C21073E0}" srcOrd="0" destOrd="0" parTransId="{A72E8D33-1E60-0B4D-ACD4-00DFE624D406}" sibTransId="{86E47789-B7AA-2B4E-B505-C71FE436D838}"/>
    <dgm:cxn modelId="{F3280CE8-9D5A-4749-A60E-E83BB143416F}" type="presOf" srcId="{7F5595DA-50C8-4B49-BE49-961F9D5478B7}" destId="{DC305650-8B81-3741-85AD-C7531958A9A1}" srcOrd="0" destOrd="0" presId="urn:microsoft.com/office/officeart/2005/8/layout/orgChart1"/>
    <dgm:cxn modelId="{477A71F4-5B7F-9844-8415-F06E83B506B9}" type="presOf" srcId="{A72E8D33-1E60-0B4D-ACD4-00DFE624D406}" destId="{6197E778-243B-2243-AB77-A40A9F6AA36C}" srcOrd="0" destOrd="0" presId="urn:microsoft.com/office/officeart/2005/8/layout/orgChart1"/>
    <dgm:cxn modelId="{7A9A93F5-2B86-2749-8750-5B8249FB7031}" type="presOf" srcId="{7967BCCE-D788-884B-8343-FAE119CBFEAE}" destId="{C18BC823-0E6D-7E4A-90E9-CB0CEF31E53F}" srcOrd="0" destOrd="0" presId="urn:microsoft.com/office/officeart/2005/8/layout/orgChart1"/>
    <dgm:cxn modelId="{C6634EA3-C5F5-7A4F-BC1D-78A5B02E6EB8}" type="presParOf" srcId="{DC305650-8B81-3741-85AD-C7531958A9A1}" destId="{18B41C23-FEF8-9B4B-90BE-7094FC3E90B4}" srcOrd="0" destOrd="0" presId="urn:microsoft.com/office/officeart/2005/8/layout/orgChart1"/>
    <dgm:cxn modelId="{AD5F19B1-AEDF-BC42-93BB-FD77C706B955}" type="presParOf" srcId="{18B41C23-FEF8-9B4B-90BE-7094FC3E90B4}" destId="{7B79E7B4-7049-424C-B758-490DA7C6032F}" srcOrd="0" destOrd="0" presId="urn:microsoft.com/office/officeart/2005/8/layout/orgChart1"/>
    <dgm:cxn modelId="{2E217A9A-B58F-F145-BA4F-FFE28B35D984}" type="presParOf" srcId="{7B79E7B4-7049-424C-B758-490DA7C6032F}" destId="{14AC2F36-2A5B-5449-85B0-B3BA5FD62C84}" srcOrd="0" destOrd="0" presId="urn:microsoft.com/office/officeart/2005/8/layout/orgChart1"/>
    <dgm:cxn modelId="{F1BA475B-86E4-7C4D-910A-16FE778F101C}" type="presParOf" srcId="{7B79E7B4-7049-424C-B758-490DA7C6032F}" destId="{EA31B1DA-61AB-1D4F-B857-902F7203BDFB}" srcOrd="1" destOrd="0" presId="urn:microsoft.com/office/officeart/2005/8/layout/orgChart1"/>
    <dgm:cxn modelId="{EF2128C2-817F-6B4C-9A36-56D7EEDBBB86}" type="presParOf" srcId="{18B41C23-FEF8-9B4B-90BE-7094FC3E90B4}" destId="{7E1446FD-71D5-A543-880F-7407B4529FC4}" srcOrd="1" destOrd="0" presId="urn:microsoft.com/office/officeart/2005/8/layout/orgChart1"/>
    <dgm:cxn modelId="{58D7192A-AF74-634E-8558-99DAD4B1AA61}" type="presParOf" srcId="{7E1446FD-71D5-A543-880F-7407B4529FC4}" destId="{A3D2FE7A-E6D3-0147-BBC1-0408F09053F4}" srcOrd="0" destOrd="0" presId="urn:microsoft.com/office/officeart/2005/8/layout/orgChart1"/>
    <dgm:cxn modelId="{E5452B6B-2CC2-4A4F-A852-ABA57928E3CE}" type="presParOf" srcId="{7E1446FD-71D5-A543-880F-7407B4529FC4}" destId="{C1A1FAD8-62DD-0446-A61C-282EB22996C4}" srcOrd="1" destOrd="0" presId="urn:microsoft.com/office/officeart/2005/8/layout/orgChart1"/>
    <dgm:cxn modelId="{4D53C09C-5F64-B145-8636-5A7C6B8437C6}" type="presParOf" srcId="{C1A1FAD8-62DD-0446-A61C-282EB22996C4}" destId="{2C974A75-2658-E648-9624-8D89FEBB93C5}" srcOrd="0" destOrd="0" presId="urn:microsoft.com/office/officeart/2005/8/layout/orgChart1"/>
    <dgm:cxn modelId="{091A8378-67E2-534D-9697-F8E9707C25E5}" type="presParOf" srcId="{2C974A75-2658-E648-9624-8D89FEBB93C5}" destId="{C18BC823-0E6D-7E4A-90E9-CB0CEF31E53F}" srcOrd="0" destOrd="0" presId="urn:microsoft.com/office/officeart/2005/8/layout/orgChart1"/>
    <dgm:cxn modelId="{2D2B25B6-199F-F443-92BC-5F68038D4E35}" type="presParOf" srcId="{2C974A75-2658-E648-9624-8D89FEBB93C5}" destId="{216B35A3-EE34-834C-B0E1-F87BBD87C42B}" srcOrd="1" destOrd="0" presId="urn:microsoft.com/office/officeart/2005/8/layout/orgChart1"/>
    <dgm:cxn modelId="{FA16A15A-982B-7B4A-AA0B-837A32AC51F7}" type="presParOf" srcId="{C1A1FAD8-62DD-0446-A61C-282EB22996C4}" destId="{C13E3CB3-AF41-7A4F-B878-54C15AE73046}" srcOrd="1" destOrd="0" presId="urn:microsoft.com/office/officeart/2005/8/layout/orgChart1"/>
    <dgm:cxn modelId="{A9A23931-21C1-FE4F-9378-470B55ECEDC8}" type="presParOf" srcId="{C13E3CB3-AF41-7A4F-B878-54C15AE73046}" destId="{6197E778-243B-2243-AB77-A40A9F6AA36C}" srcOrd="0" destOrd="0" presId="urn:microsoft.com/office/officeart/2005/8/layout/orgChart1"/>
    <dgm:cxn modelId="{83E48E77-5D1E-9944-88B1-407771BEB909}" type="presParOf" srcId="{C13E3CB3-AF41-7A4F-B878-54C15AE73046}" destId="{8B713A12-402E-2C47-8E9F-E4188AF925D4}" srcOrd="1" destOrd="0" presId="urn:microsoft.com/office/officeart/2005/8/layout/orgChart1"/>
    <dgm:cxn modelId="{0B68CE4B-92A2-7B43-9556-A1A521AC1CC1}" type="presParOf" srcId="{8B713A12-402E-2C47-8E9F-E4188AF925D4}" destId="{A1F08603-1647-894B-9E20-7030AF36D437}" srcOrd="0" destOrd="0" presId="urn:microsoft.com/office/officeart/2005/8/layout/orgChart1"/>
    <dgm:cxn modelId="{5F93C9A7-6EA7-E14A-80AE-B1B9A1C7AA71}" type="presParOf" srcId="{A1F08603-1647-894B-9E20-7030AF36D437}" destId="{C3B42F72-A090-4E4C-A96C-D00BC74455A0}" srcOrd="0" destOrd="0" presId="urn:microsoft.com/office/officeart/2005/8/layout/orgChart1"/>
    <dgm:cxn modelId="{06E49364-AFF4-B448-9CC1-A7D17EED49AD}" type="presParOf" srcId="{A1F08603-1647-894B-9E20-7030AF36D437}" destId="{43C45289-B701-7047-BFD5-1145BF395E64}" srcOrd="1" destOrd="0" presId="urn:microsoft.com/office/officeart/2005/8/layout/orgChart1"/>
    <dgm:cxn modelId="{7A3F0F54-77CB-8847-AF78-8BE9A1830C0A}" type="presParOf" srcId="{8B713A12-402E-2C47-8E9F-E4188AF925D4}" destId="{CFF85A66-D503-D94A-BEAB-F2586B5D9CFA}" srcOrd="1" destOrd="0" presId="urn:microsoft.com/office/officeart/2005/8/layout/orgChart1"/>
    <dgm:cxn modelId="{043C69EA-60C0-0743-92D8-5BF5C7DC4AFD}" type="presParOf" srcId="{CFF85A66-D503-D94A-BEAB-F2586B5D9CFA}" destId="{C1EB4325-308E-964F-87F1-49F9A8F133C3}" srcOrd="0" destOrd="0" presId="urn:microsoft.com/office/officeart/2005/8/layout/orgChart1"/>
    <dgm:cxn modelId="{4BA9E8AD-1851-A945-BECE-6290DC8281B4}" type="presParOf" srcId="{CFF85A66-D503-D94A-BEAB-F2586B5D9CFA}" destId="{4F64AEF7-E91B-BE4D-B736-A196B45C7FE5}" srcOrd="1" destOrd="0" presId="urn:microsoft.com/office/officeart/2005/8/layout/orgChart1"/>
    <dgm:cxn modelId="{89D6701F-8CD9-FD4C-A0F8-6418AF281F06}" type="presParOf" srcId="{4F64AEF7-E91B-BE4D-B736-A196B45C7FE5}" destId="{CCC66CE9-FB04-DB42-A0BB-9EA18A65D82B}" srcOrd="0" destOrd="0" presId="urn:microsoft.com/office/officeart/2005/8/layout/orgChart1"/>
    <dgm:cxn modelId="{BE9C390B-77E8-FB43-8B77-2E2493E58C9A}" type="presParOf" srcId="{CCC66CE9-FB04-DB42-A0BB-9EA18A65D82B}" destId="{6F0E7BA6-F8C4-7E4D-B0DB-7CC5FC20D2D3}" srcOrd="0" destOrd="0" presId="urn:microsoft.com/office/officeart/2005/8/layout/orgChart1"/>
    <dgm:cxn modelId="{B2FC1517-1749-CF43-996C-86E63607D313}" type="presParOf" srcId="{CCC66CE9-FB04-DB42-A0BB-9EA18A65D82B}" destId="{5BBF474F-4414-C743-9F68-B0B0F9A34158}" srcOrd="1" destOrd="0" presId="urn:microsoft.com/office/officeart/2005/8/layout/orgChart1"/>
    <dgm:cxn modelId="{F9DF82F3-272D-414E-8145-71CE48A4F2EE}" type="presParOf" srcId="{4F64AEF7-E91B-BE4D-B736-A196B45C7FE5}" destId="{D3D1A5CE-11C5-5341-B0EC-ECE611014213}" srcOrd="1" destOrd="0" presId="urn:microsoft.com/office/officeart/2005/8/layout/orgChart1"/>
    <dgm:cxn modelId="{436A1279-310B-B64A-86B5-10AAFF90D564}" type="presParOf" srcId="{4F64AEF7-E91B-BE4D-B736-A196B45C7FE5}" destId="{59E3DD13-6518-314E-A682-17BD88E23DF7}" srcOrd="2" destOrd="0" presId="urn:microsoft.com/office/officeart/2005/8/layout/orgChart1"/>
    <dgm:cxn modelId="{48E4A7E0-372B-6E40-B497-5E0EA89D70E7}" type="presParOf" srcId="{8B713A12-402E-2C47-8E9F-E4188AF925D4}" destId="{6C906E04-8539-9848-A493-A7FE8E515D08}" srcOrd="2" destOrd="0" presId="urn:microsoft.com/office/officeart/2005/8/layout/orgChart1"/>
    <dgm:cxn modelId="{16DECD4D-0E88-D64D-B2FE-8FC71E33FAF0}" type="presParOf" srcId="{C13E3CB3-AF41-7A4F-B878-54C15AE73046}" destId="{BCDF37D8-ED46-4E48-BE9B-D8AA818E3772}" srcOrd="2" destOrd="0" presId="urn:microsoft.com/office/officeart/2005/8/layout/orgChart1"/>
    <dgm:cxn modelId="{F9B13598-B4F3-2C46-94C8-B8C98C110044}" type="presParOf" srcId="{C13E3CB3-AF41-7A4F-B878-54C15AE73046}" destId="{4E0562C8-B9EA-B24D-B242-57009DC9C86C}" srcOrd="3" destOrd="0" presId="urn:microsoft.com/office/officeart/2005/8/layout/orgChart1"/>
    <dgm:cxn modelId="{2B8F0C61-0E01-3E45-B1AC-86E39FB13E08}" type="presParOf" srcId="{4E0562C8-B9EA-B24D-B242-57009DC9C86C}" destId="{691478D5-0BA0-EC4B-9A3B-F1957EED85F8}" srcOrd="0" destOrd="0" presId="urn:microsoft.com/office/officeart/2005/8/layout/orgChart1"/>
    <dgm:cxn modelId="{B14F5C43-9895-8845-9D05-B9662144E943}" type="presParOf" srcId="{691478D5-0BA0-EC4B-9A3B-F1957EED85F8}" destId="{E24D1BA1-54A7-EB41-951A-EDBD95A85CD1}" srcOrd="0" destOrd="0" presId="urn:microsoft.com/office/officeart/2005/8/layout/orgChart1"/>
    <dgm:cxn modelId="{042CC245-19EE-4447-90E1-2E9368988FD3}" type="presParOf" srcId="{691478D5-0BA0-EC4B-9A3B-F1957EED85F8}" destId="{0C871E92-AD82-2F40-8D5C-0CF9403E6382}" srcOrd="1" destOrd="0" presId="urn:microsoft.com/office/officeart/2005/8/layout/orgChart1"/>
    <dgm:cxn modelId="{D728E72E-38A6-AD42-AEA7-AC59A51497D2}" type="presParOf" srcId="{4E0562C8-B9EA-B24D-B242-57009DC9C86C}" destId="{29DDCCC6-EA25-0A48-8A63-052E75BB521F}" srcOrd="1" destOrd="0" presId="urn:microsoft.com/office/officeart/2005/8/layout/orgChart1"/>
    <dgm:cxn modelId="{D9742285-0E23-E648-8D83-D3C4DA640424}" type="presParOf" srcId="{29DDCCC6-EA25-0A48-8A63-052E75BB521F}" destId="{AB8BB00C-E4C4-7248-B97F-764C71AA1889}" srcOrd="0" destOrd="0" presId="urn:microsoft.com/office/officeart/2005/8/layout/orgChart1"/>
    <dgm:cxn modelId="{2EF2205B-C2C2-E449-9287-5041484F6FDD}" type="presParOf" srcId="{29DDCCC6-EA25-0A48-8A63-052E75BB521F}" destId="{1F09C79E-5C53-A54D-BEC0-1D5F80D8F80B}" srcOrd="1" destOrd="0" presId="urn:microsoft.com/office/officeart/2005/8/layout/orgChart1"/>
    <dgm:cxn modelId="{CBEE1342-6B45-8540-910C-357CBB408A41}" type="presParOf" srcId="{1F09C79E-5C53-A54D-BEC0-1D5F80D8F80B}" destId="{C0F0A7C9-4CAF-9D4E-8715-FEC082C1F27C}" srcOrd="0" destOrd="0" presId="urn:microsoft.com/office/officeart/2005/8/layout/orgChart1"/>
    <dgm:cxn modelId="{40156C5E-685E-8349-A512-9F4C4D353C76}" type="presParOf" srcId="{C0F0A7C9-4CAF-9D4E-8715-FEC082C1F27C}" destId="{50DA85EF-DFC6-134D-AFD8-684885EE3373}" srcOrd="0" destOrd="0" presId="urn:microsoft.com/office/officeart/2005/8/layout/orgChart1"/>
    <dgm:cxn modelId="{5835FDEE-35B9-184C-94F7-04FEA1F2105F}" type="presParOf" srcId="{C0F0A7C9-4CAF-9D4E-8715-FEC082C1F27C}" destId="{F0A7A547-EF9B-DE40-9D3D-267677CA0020}" srcOrd="1" destOrd="0" presId="urn:microsoft.com/office/officeart/2005/8/layout/orgChart1"/>
    <dgm:cxn modelId="{B94E5E32-53AF-0746-93A0-05DEAF175A96}" type="presParOf" srcId="{1F09C79E-5C53-A54D-BEC0-1D5F80D8F80B}" destId="{F4B7DCC8-F6C4-5D46-82BC-AD18CA7507F5}" srcOrd="1" destOrd="0" presId="urn:microsoft.com/office/officeart/2005/8/layout/orgChart1"/>
    <dgm:cxn modelId="{C561A36C-392B-834F-9AE0-3964610E071A}" type="presParOf" srcId="{1F09C79E-5C53-A54D-BEC0-1D5F80D8F80B}" destId="{89DD46A6-0A14-1145-93DD-D36B610F86DD}" srcOrd="2" destOrd="0" presId="urn:microsoft.com/office/officeart/2005/8/layout/orgChart1"/>
    <dgm:cxn modelId="{F52E289F-DBFD-194D-8CFE-825DB685202B}" type="presParOf" srcId="{4E0562C8-B9EA-B24D-B242-57009DC9C86C}" destId="{EC33D7A0-1028-C949-9114-A6DE40B4859B}" srcOrd="2" destOrd="0" presId="urn:microsoft.com/office/officeart/2005/8/layout/orgChart1"/>
    <dgm:cxn modelId="{F2C8D885-C033-D545-9FDF-7589B3789301}" type="presParOf" srcId="{C1A1FAD8-62DD-0446-A61C-282EB22996C4}" destId="{4871044C-A7D5-7048-90E9-71F5E820B0A3}" srcOrd="2" destOrd="0" presId="urn:microsoft.com/office/officeart/2005/8/layout/orgChart1"/>
    <dgm:cxn modelId="{8E7F1292-AAD0-FA44-80E9-6EC5BDF31402}" type="presParOf" srcId="{18B41C23-FEF8-9B4B-90BE-7094FC3E90B4}" destId="{5799E993-44D2-BF4F-8272-E517B2CEEFE0}" srcOrd="2" destOrd="0" presId="urn:microsoft.com/office/officeart/2005/8/layout/orgChart1"/>
    <dgm:cxn modelId="{7D034373-D504-254B-9A46-233FC7576304}" type="presParOf" srcId="{5799E993-44D2-BF4F-8272-E517B2CEEFE0}" destId="{33512CA8-21C4-C145-B4EC-569A3A5D9ECD}" srcOrd="0" destOrd="0" presId="urn:microsoft.com/office/officeart/2005/8/layout/orgChart1"/>
    <dgm:cxn modelId="{138E9CAB-2979-DA40-9CB5-CF6B52B112F2}" type="presParOf" srcId="{5799E993-44D2-BF4F-8272-E517B2CEEFE0}" destId="{280A884D-496E-B649-BE43-E1E4467C250E}" srcOrd="1" destOrd="0" presId="urn:microsoft.com/office/officeart/2005/8/layout/orgChart1"/>
    <dgm:cxn modelId="{FAA673A6-FA96-9A47-95CA-BBA18D528780}" type="presParOf" srcId="{280A884D-496E-B649-BE43-E1E4467C250E}" destId="{84EED71C-8BA9-CA4F-88E3-B22152504A14}" srcOrd="0" destOrd="0" presId="urn:microsoft.com/office/officeart/2005/8/layout/orgChart1"/>
    <dgm:cxn modelId="{9EFA51C4-4DF5-1C4C-B713-B31529FAA2EC}" type="presParOf" srcId="{84EED71C-8BA9-CA4F-88E3-B22152504A14}" destId="{F374007B-31F5-3240-B1E4-C7ECD666FFDF}" srcOrd="0" destOrd="0" presId="urn:microsoft.com/office/officeart/2005/8/layout/orgChart1"/>
    <dgm:cxn modelId="{07A32FF4-A3A9-B649-A443-42C813616972}" type="presParOf" srcId="{84EED71C-8BA9-CA4F-88E3-B22152504A14}" destId="{01B1291B-5749-0642-886A-0EE049087112}" srcOrd="1" destOrd="0" presId="urn:microsoft.com/office/officeart/2005/8/layout/orgChart1"/>
    <dgm:cxn modelId="{B30B5677-10F0-9741-886C-AF138B24A2E5}" type="presParOf" srcId="{280A884D-496E-B649-BE43-E1E4467C250E}" destId="{8BA3E788-515D-7B4C-870B-3FDC7CE21069}" srcOrd="1" destOrd="0" presId="urn:microsoft.com/office/officeart/2005/8/layout/orgChart1"/>
    <dgm:cxn modelId="{B4C19FF3-1013-7444-ADAA-BFD5B2C62D7D}" type="presParOf" srcId="{280A884D-496E-B649-BE43-E1E4467C250E}" destId="{12D8DCE0-13F5-CE4E-BE92-BE7D56A3B7D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12CA8-21C4-C145-B4EC-569A3A5D9ECD}">
      <dsp:nvSpPr>
        <dsp:cNvPr id="0" name=""/>
        <dsp:cNvSpPr/>
      </dsp:nvSpPr>
      <dsp:spPr>
        <a:xfrm>
          <a:off x="2671773" y="578996"/>
          <a:ext cx="121547" cy="914626"/>
        </a:xfrm>
        <a:custGeom>
          <a:avLst/>
          <a:gdLst/>
          <a:ahLst/>
          <a:cxnLst/>
          <a:rect l="0" t="0" r="0" b="0"/>
          <a:pathLst>
            <a:path>
              <a:moveTo>
                <a:pt x="121547" y="0"/>
              </a:moveTo>
              <a:lnTo>
                <a:pt x="121547" y="914626"/>
              </a:lnTo>
              <a:lnTo>
                <a:pt x="0" y="914626"/>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8BB00C-E4C4-7248-B97F-764C71AA1889}">
      <dsp:nvSpPr>
        <dsp:cNvPr id="0" name=""/>
        <dsp:cNvSpPr/>
      </dsp:nvSpPr>
      <dsp:spPr>
        <a:xfrm>
          <a:off x="247658" y="3561218"/>
          <a:ext cx="91440" cy="739537"/>
        </a:xfrm>
        <a:custGeom>
          <a:avLst/>
          <a:gdLst/>
          <a:ahLst/>
          <a:cxnLst/>
          <a:rect l="0" t="0" r="0" b="0"/>
          <a:pathLst>
            <a:path>
              <a:moveTo>
                <a:pt x="82282" y="0"/>
              </a:moveTo>
              <a:lnTo>
                <a:pt x="45720" y="739537"/>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DF37D8-ED46-4E48-BE9B-D8AA818E3772}">
      <dsp:nvSpPr>
        <dsp:cNvPr id="0" name=""/>
        <dsp:cNvSpPr/>
      </dsp:nvSpPr>
      <dsp:spPr>
        <a:xfrm>
          <a:off x="1283783" y="2794179"/>
          <a:ext cx="1506376" cy="188242"/>
        </a:xfrm>
        <a:custGeom>
          <a:avLst/>
          <a:gdLst/>
          <a:ahLst/>
          <a:cxnLst/>
          <a:rect l="0" t="0" r="0" b="0"/>
          <a:pathLst>
            <a:path>
              <a:moveTo>
                <a:pt x="1506376" y="0"/>
              </a:moveTo>
              <a:lnTo>
                <a:pt x="1506376" y="66694"/>
              </a:lnTo>
              <a:lnTo>
                <a:pt x="0" y="66694"/>
              </a:lnTo>
              <a:lnTo>
                <a:pt x="0" y="18824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EB4325-308E-964F-87F1-49F9A8F133C3}">
      <dsp:nvSpPr>
        <dsp:cNvPr id="0" name=""/>
        <dsp:cNvSpPr/>
      </dsp:nvSpPr>
      <dsp:spPr>
        <a:xfrm>
          <a:off x="3347934" y="3561212"/>
          <a:ext cx="91440" cy="754340"/>
        </a:xfrm>
        <a:custGeom>
          <a:avLst/>
          <a:gdLst/>
          <a:ahLst/>
          <a:cxnLst/>
          <a:rect l="0" t="0" r="0" b="0"/>
          <a:pathLst>
            <a:path>
              <a:moveTo>
                <a:pt x="121255" y="0"/>
              </a:moveTo>
              <a:lnTo>
                <a:pt x="45720" y="75434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97E778-243B-2243-AB77-A40A9F6AA36C}">
      <dsp:nvSpPr>
        <dsp:cNvPr id="0" name=""/>
        <dsp:cNvSpPr/>
      </dsp:nvSpPr>
      <dsp:spPr>
        <a:xfrm>
          <a:off x="2790160" y="2794179"/>
          <a:ext cx="1598584" cy="188236"/>
        </a:xfrm>
        <a:custGeom>
          <a:avLst/>
          <a:gdLst/>
          <a:ahLst/>
          <a:cxnLst/>
          <a:rect l="0" t="0" r="0" b="0"/>
          <a:pathLst>
            <a:path>
              <a:moveTo>
                <a:pt x="0" y="0"/>
              </a:moveTo>
              <a:lnTo>
                <a:pt x="0" y="66688"/>
              </a:lnTo>
              <a:lnTo>
                <a:pt x="1598584" y="66688"/>
              </a:lnTo>
              <a:lnTo>
                <a:pt x="1598584" y="188236"/>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3D2FE7A-E6D3-0147-BBC1-0408F09053F4}">
      <dsp:nvSpPr>
        <dsp:cNvPr id="0" name=""/>
        <dsp:cNvSpPr/>
      </dsp:nvSpPr>
      <dsp:spPr>
        <a:xfrm>
          <a:off x="2744440" y="578996"/>
          <a:ext cx="91440" cy="1687291"/>
        </a:xfrm>
        <a:custGeom>
          <a:avLst/>
          <a:gdLst/>
          <a:ahLst/>
          <a:cxnLst/>
          <a:rect l="0" t="0" r="0" b="0"/>
          <a:pathLst>
            <a:path>
              <a:moveTo>
                <a:pt x="48880" y="0"/>
              </a:moveTo>
              <a:lnTo>
                <a:pt x="48880" y="1565743"/>
              </a:lnTo>
              <a:lnTo>
                <a:pt x="45720" y="1565743"/>
              </a:lnTo>
              <a:lnTo>
                <a:pt x="45720" y="1687291"/>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4AC2F36-2A5B-5449-85B0-B3BA5FD62C84}">
      <dsp:nvSpPr>
        <dsp:cNvPr id="0" name=""/>
        <dsp:cNvSpPr/>
      </dsp:nvSpPr>
      <dsp:spPr>
        <a:xfrm>
          <a:off x="1395746" y="199"/>
          <a:ext cx="2795148" cy="57879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N=70</a:t>
          </a:r>
        </a:p>
        <a:p>
          <a:pPr marL="0" lvl="0" indent="0" algn="ctr" defTabSz="533400">
            <a:lnSpc>
              <a:spcPct val="90000"/>
            </a:lnSpc>
            <a:spcBef>
              <a:spcPct val="0"/>
            </a:spcBef>
            <a:spcAft>
              <a:spcPct val="35000"/>
            </a:spcAft>
            <a:buNone/>
          </a:pPr>
          <a:r>
            <a:rPr lang="en-US" sz="1200" kern="1200" dirty="0"/>
            <a:t>Systemic Ventricular Dysfunction and CRT</a:t>
          </a:r>
        </a:p>
        <a:p>
          <a:pPr marL="0" lvl="0" indent="0" algn="ctr" defTabSz="533400">
            <a:lnSpc>
              <a:spcPct val="90000"/>
            </a:lnSpc>
            <a:spcBef>
              <a:spcPct val="0"/>
            </a:spcBef>
            <a:spcAft>
              <a:spcPct val="35000"/>
            </a:spcAft>
            <a:buNone/>
          </a:pPr>
          <a:endParaRPr lang="en-US" sz="700" kern="1200" dirty="0"/>
        </a:p>
      </dsp:txBody>
      <dsp:txXfrm>
        <a:off x="1395746" y="199"/>
        <a:ext cx="2795148" cy="578796"/>
      </dsp:txXfrm>
    </dsp:sp>
    <dsp:sp modelId="{C18BC823-0E6D-7E4A-90E9-CB0CEF31E53F}">
      <dsp:nvSpPr>
        <dsp:cNvPr id="0" name=""/>
        <dsp:cNvSpPr/>
      </dsp:nvSpPr>
      <dsp:spPr>
        <a:xfrm>
          <a:off x="466366" y="2266287"/>
          <a:ext cx="4647588" cy="527891"/>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N=54</a:t>
          </a:r>
        </a:p>
        <a:p>
          <a:pPr marL="0" lvl="0" indent="0" algn="ctr" defTabSz="533400">
            <a:lnSpc>
              <a:spcPct val="90000"/>
            </a:lnSpc>
            <a:spcBef>
              <a:spcPct val="0"/>
            </a:spcBef>
            <a:spcAft>
              <a:spcPct val="35000"/>
            </a:spcAft>
            <a:buNone/>
          </a:pPr>
          <a:r>
            <a:rPr lang="en-US" sz="1200" kern="1200" dirty="0"/>
            <a:t>Systemic Ventricular Dysfunction and CRT with </a:t>
          </a:r>
          <a:r>
            <a:rPr lang="en-US" sz="1200" kern="1200" dirty="0" err="1"/>
            <a:t>BiV</a:t>
          </a:r>
          <a:r>
            <a:rPr lang="en-US" sz="1200" kern="1200" dirty="0"/>
            <a:t> Pacing&gt;90%</a:t>
          </a:r>
        </a:p>
        <a:p>
          <a:pPr marL="0" lvl="0" indent="0" algn="ctr" defTabSz="533400">
            <a:lnSpc>
              <a:spcPct val="90000"/>
            </a:lnSpc>
            <a:spcBef>
              <a:spcPct val="0"/>
            </a:spcBef>
            <a:spcAft>
              <a:spcPct val="35000"/>
            </a:spcAft>
            <a:buNone/>
          </a:pPr>
          <a:endParaRPr lang="en-US" sz="700" kern="1200" dirty="0"/>
        </a:p>
      </dsp:txBody>
      <dsp:txXfrm>
        <a:off x="466366" y="2266287"/>
        <a:ext cx="4647588" cy="527891"/>
      </dsp:txXfrm>
    </dsp:sp>
    <dsp:sp modelId="{C3B42F72-A090-4E4C-A96C-D00BC74455A0}">
      <dsp:nvSpPr>
        <dsp:cNvPr id="0" name=""/>
        <dsp:cNvSpPr/>
      </dsp:nvSpPr>
      <dsp:spPr>
        <a:xfrm>
          <a:off x="3239301" y="2982415"/>
          <a:ext cx="2298888" cy="57879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N=16</a:t>
          </a:r>
        </a:p>
        <a:p>
          <a:pPr marL="0" lvl="0" indent="0" algn="ctr" defTabSz="533400">
            <a:lnSpc>
              <a:spcPct val="90000"/>
            </a:lnSpc>
            <a:spcBef>
              <a:spcPct val="0"/>
            </a:spcBef>
            <a:spcAft>
              <a:spcPct val="35000"/>
            </a:spcAft>
            <a:buNone/>
          </a:pPr>
          <a:r>
            <a:rPr lang="en-US" sz="1200" kern="1200" dirty="0"/>
            <a:t>Systemic RV</a:t>
          </a:r>
        </a:p>
      </dsp:txBody>
      <dsp:txXfrm>
        <a:off x="3239301" y="2982415"/>
        <a:ext cx="2298888" cy="578796"/>
      </dsp:txXfrm>
    </dsp:sp>
    <dsp:sp modelId="{6F0E7BA6-F8C4-7E4D-B0DB-7CC5FC20D2D3}">
      <dsp:nvSpPr>
        <dsp:cNvPr id="0" name=""/>
        <dsp:cNvSpPr/>
      </dsp:nvSpPr>
      <dsp:spPr>
        <a:xfrm>
          <a:off x="3393654" y="3796672"/>
          <a:ext cx="2092524" cy="103775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dirty="0"/>
        </a:p>
        <a:p>
          <a:pPr marL="0" lvl="0" indent="0" algn="ctr" defTabSz="755650">
            <a:lnSpc>
              <a:spcPct val="90000"/>
            </a:lnSpc>
            <a:spcBef>
              <a:spcPct val="0"/>
            </a:spcBef>
            <a:spcAft>
              <a:spcPct val="35000"/>
            </a:spcAft>
            <a:buNone/>
          </a:pPr>
          <a:r>
            <a:rPr lang="en-US" sz="1200" kern="1200" dirty="0" err="1"/>
            <a:t>ccTGA</a:t>
          </a:r>
          <a:r>
            <a:rPr lang="en-US" sz="1200" kern="1200" dirty="0"/>
            <a:t> (13)</a:t>
          </a:r>
        </a:p>
        <a:p>
          <a:pPr marL="0" lvl="0" indent="0" algn="ctr" defTabSz="755650">
            <a:lnSpc>
              <a:spcPct val="90000"/>
            </a:lnSpc>
            <a:spcBef>
              <a:spcPct val="0"/>
            </a:spcBef>
            <a:spcAft>
              <a:spcPct val="35000"/>
            </a:spcAft>
            <a:buNone/>
          </a:pPr>
          <a:r>
            <a:rPr lang="en-US" sz="1200" kern="1200" dirty="0" err="1"/>
            <a:t>dTGA</a:t>
          </a:r>
          <a:r>
            <a:rPr lang="en-US" sz="1200" kern="1200" dirty="0"/>
            <a:t> – Mustard (2)</a:t>
          </a:r>
        </a:p>
      </dsp:txBody>
      <dsp:txXfrm>
        <a:off x="3393654" y="3796672"/>
        <a:ext cx="2092524" cy="1037759"/>
      </dsp:txXfrm>
    </dsp:sp>
    <dsp:sp modelId="{E24D1BA1-54A7-EB41-951A-EDBD95A85CD1}">
      <dsp:nvSpPr>
        <dsp:cNvPr id="0" name=""/>
        <dsp:cNvSpPr/>
      </dsp:nvSpPr>
      <dsp:spPr>
        <a:xfrm>
          <a:off x="91479" y="2982421"/>
          <a:ext cx="2384608" cy="57879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N=39 </a:t>
          </a:r>
        </a:p>
        <a:p>
          <a:pPr marL="0" lvl="0" indent="0" algn="ctr" defTabSz="533400">
            <a:lnSpc>
              <a:spcPct val="90000"/>
            </a:lnSpc>
            <a:spcBef>
              <a:spcPct val="0"/>
            </a:spcBef>
            <a:spcAft>
              <a:spcPct val="35000"/>
            </a:spcAft>
            <a:buNone/>
          </a:pPr>
          <a:r>
            <a:rPr lang="en-US" sz="1200" kern="1200" dirty="0"/>
            <a:t>Systemic LV</a:t>
          </a:r>
        </a:p>
      </dsp:txBody>
      <dsp:txXfrm>
        <a:off x="91479" y="2982421"/>
        <a:ext cx="2384608" cy="578796"/>
      </dsp:txXfrm>
    </dsp:sp>
    <dsp:sp modelId="{50DA85EF-DFC6-134D-AFD8-684885EE3373}">
      <dsp:nvSpPr>
        <dsp:cNvPr id="0" name=""/>
        <dsp:cNvSpPr/>
      </dsp:nvSpPr>
      <dsp:spPr>
        <a:xfrm>
          <a:off x="293378" y="3755775"/>
          <a:ext cx="2184784" cy="1089961"/>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LVOT Lesions (17)</a:t>
          </a:r>
        </a:p>
        <a:p>
          <a:pPr marL="0" lvl="0" indent="0" algn="ctr" defTabSz="533400">
            <a:lnSpc>
              <a:spcPct val="90000"/>
            </a:lnSpc>
            <a:spcBef>
              <a:spcPct val="0"/>
            </a:spcBef>
            <a:spcAft>
              <a:spcPct val="35000"/>
            </a:spcAft>
            <a:buNone/>
          </a:pPr>
          <a:r>
            <a:rPr lang="en-US" sz="1200" kern="1200" dirty="0"/>
            <a:t>TOF (11)</a:t>
          </a:r>
        </a:p>
        <a:p>
          <a:pPr marL="0" lvl="0" indent="0" algn="ctr" defTabSz="533400">
            <a:lnSpc>
              <a:spcPct val="90000"/>
            </a:lnSpc>
            <a:spcBef>
              <a:spcPct val="0"/>
            </a:spcBef>
            <a:spcAft>
              <a:spcPct val="35000"/>
            </a:spcAft>
            <a:buNone/>
          </a:pPr>
          <a:r>
            <a:rPr lang="en-US" sz="1200" kern="1200" dirty="0"/>
            <a:t>RVOT Lesions (5)</a:t>
          </a:r>
        </a:p>
        <a:p>
          <a:pPr marL="0" lvl="0" indent="0" algn="ctr" defTabSz="533400">
            <a:lnSpc>
              <a:spcPct val="90000"/>
            </a:lnSpc>
            <a:spcBef>
              <a:spcPct val="0"/>
            </a:spcBef>
            <a:spcAft>
              <a:spcPct val="35000"/>
            </a:spcAft>
            <a:buNone/>
          </a:pPr>
          <a:r>
            <a:rPr lang="en-US" sz="1200" kern="1200" dirty="0"/>
            <a:t>AV Septal Defects (5)</a:t>
          </a:r>
        </a:p>
        <a:p>
          <a:pPr marL="0" lvl="0" indent="0" algn="ctr" defTabSz="533400">
            <a:lnSpc>
              <a:spcPct val="90000"/>
            </a:lnSpc>
            <a:spcBef>
              <a:spcPct val="0"/>
            </a:spcBef>
            <a:spcAft>
              <a:spcPct val="35000"/>
            </a:spcAft>
            <a:buNone/>
          </a:pPr>
          <a:r>
            <a:rPr lang="en-US" sz="1200" kern="1200" dirty="0"/>
            <a:t>ASD with RAA (1)</a:t>
          </a:r>
        </a:p>
      </dsp:txBody>
      <dsp:txXfrm>
        <a:off x="293378" y="3755775"/>
        <a:ext cx="2184784" cy="1089961"/>
      </dsp:txXfrm>
    </dsp:sp>
    <dsp:sp modelId="{F374007B-31F5-3240-B1E4-C7ECD666FFDF}">
      <dsp:nvSpPr>
        <dsp:cNvPr id="0" name=""/>
        <dsp:cNvSpPr/>
      </dsp:nvSpPr>
      <dsp:spPr>
        <a:xfrm>
          <a:off x="444470" y="822091"/>
          <a:ext cx="2227302" cy="134306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t>N=16</a:t>
          </a:r>
        </a:p>
        <a:p>
          <a:pPr marL="0" lvl="0" indent="0" algn="ctr" defTabSz="533400">
            <a:lnSpc>
              <a:spcPct val="90000"/>
            </a:lnSpc>
            <a:spcBef>
              <a:spcPct val="0"/>
            </a:spcBef>
            <a:spcAft>
              <a:spcPct val="35000"/>
            </a:spcAft>
            <a:buNone/>
          </a:pPr>
          <a:r>
            <a:rPr lang="en-US" sz="1200" kern="1200" dirty="0"/>
            <a:t>Excluded for:</a:t>
          </a:r>
        </a:p>
        <a:p>
          <a:pPr marL="0" lvl="0" indent="0" algn="ctr" defTabSz="533400">
            <a:lnSpc>
              <a:spcPct val="90000"/>
            </a:lnSpc>
            <a:spcBef>
              <a:spcPct val="0"/>
            </a:spcBef>
            <a:spcAft>
              <a:spcPct val="35000"/>
            </a:spcAft>
            <a:buNone/>
          </a:pPr>
          <a:r>
            <a:rPr lang="en-US" sz="1200" kern="1200" dirty="0" err="1"/>
            <a:t>BiV</a:t>
          </a:r>
          <a:r>
            <a:rPr lang="en-US" sz="1200" kern="1200" dirty="0"/>
            <a:t> Pacing &lt;90% (8)</a:t>
          </a:r>
        </a:p>
        <a:p>
          <a:pPr marL="0" lvl="0" indent="0" algn="ctr" defTabSz="533400">
            <a:lnSpc>
              <a:spcPct val="90000"/>
            </a:lnSpc>
            <a:spcBef>
              <a:spcPct val="0"/>
            </a:spcBef>
            <a:spcAft>
              <a:spcPct val="35000"/>
            </a:spcAft>
            <a:buNone/>
          </a:pPr>
          <a:r>
            <a:rPr lang="en-US" sz="1200" kern="1200" dirty="0"/>
            <a:t>Lack of Imaging (8)</a:t>
          </a:r>
        </a:p>
        <a:p>
          <a:pPr marL="0" lvl="0" indent="0" algn="ctr" defTabSz="533400">
            <a:lnSpc>
              <a:spcPct val="90000"/>
            </a:lnSpc>
            <a:spcBef>
              <a:spcPct val="0"/>
            </a:spcBef>
            <a:spcAft>
              <a:spcPct val="35000"/>
            </a:spcAft>
            <a:buNone/>
          </a:pPr>
          <a:r>
            <a:rPr lang="en-US" sz="1200" kern="1200" dirty="0"/>
            <a:t>(Not Different from Study Cohort)</a:t>
          </a:r>
        </a:p>
        <a:p>
          <a:pPr marL="0" lvl="0" indent="0" algn="ctr" defTabSz="533400">
            <a:lnSpc>
              <a:spcPct val="90000"/>
            </a:lnSpc>
            <a:spcBef>
              <a:spcPct val="0"/>
            </a:spcBef>
            <a:spcAft>
              <a:spcPct val="35000"/>
            </a:spcAft>
            <a:buNone/>
          </a:pPr>
          <a:r>
            <a:rPr lang="en-US" sz="700" kern="1200" dirty="0"/>
            <a:t> </a:t>
          </a:r>
        </a:p>
      </dsp:txBody>
      <dsp:txXfrm>
        <a:off x="444470" y="822091"/>
        <a:ext cx="2227302" cy="13430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1709</Words>
  <Characters>9742</Characters>
  <Application>Microsoft Office Word</Application>
  <DocSecurity>0</DocSecurity>
  <Lines>81</Lines>
  <Paragraphs>22</Paragraphs>
  <ScaleCrop>false</ScaleCrop>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12</cp:revision>
  <dcterms:created xsi:type="dcterms:W3CDTF">2020-03-29T15:02:00Z</dcterms:created>
  <dcterms:modified xsi:type="dcterms:W3CDTF">2020-03-29T15:31:00Z</dcterms:modified>
</cp:coreProperties>
</file>