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5BFD9C3" w14:textId="77777777" w:rsidR="0024597F" w:rsidRPr="00653A4E" w:rsidRDefault="006B4E49" w:rsidP="0024597F">
      <w:pPr>
        <w:pStyle w:val="Heading1"/>
      </w:pPr>
      <w:r>
        <w:fldChar w:fldCharType="begin"/>
      </w:r>
      <w:r>
        <w:instrText xml:space="preserve"> HYPERLINK "https://www.ncbi.nlm.nih.gov/pubmed/31568264" \o "https://www.ncbi.nlm.nih.gov/pubmed/31568264" </w:instrText>
      </w:r>
      <w:r>
        <w:fldChar w:fldCharType="separate"/>
      </w:r>
      <w:r w:rsidR="0024597F" w:rsidRPr="009B612B">
        <w:rPr>
          <w:rFonts w:eastAsia="Times New Roman"/>
          <w:highlight w:val="yellow"/>
        </w:rPr>
        <w:t>Necrotizing Enterocolitis and Associated Mortality in Neonates With Congenital Heart Disease: A Multi-Institutional Study.</w:t>
      </w:r>
      <w:r>
        <w:rPr>
          <w:rFonts w:eastAsia="Times New Roman"/>
          <w:highlight w:val="yellow"/>
        </w:rPr>
        <w:fldChar w:fldCharType="end"/>
      </w:r>
    </w:p>
    <w:p w14:paraId="1C11DACB" w14:textId="77777777" w:rsidR="0024597F" w:rsidRPr="008B1FA4" w:rsidRDefault="0024597F" w:rsidP="0024597F">
      <w:pPr>
        <w:spacing w:after="0"/>
        <w:rPr>
          <w:rFonts w:eastAsia="Times New Roman" w:cstheme="minorHAnsi"/>
          <w:color w:val="000000"/>
          <w:sz w:val="24"/>
          <w:szCs w:val="24"/>
        </w:rPr>
      </w:pPr>
      <w:r w:rsidRPr="008B1FA4">
        <w:rPr>
          <w:rFonts w:eastAsia="Times New Roman" w:cstheme="minorHAnsi"/>
          <w:color w:val="000000"/>
          <w:sz w:val="24"/>
          <w:szCs w:val="24"/>
        </w:rPr>
        <w:t xml:space="preserve">Spinner JA, Morris SA, Nandi D, </w:t>
      </w:r>
      <w:proofErr w:type="spellStart"/>
      <w:r w:rsidRPr="008B1FA4">
        <w:rPr>
          <w:rFonts w:eastAsia="Times New Roman" w:cstheme="minorHAnsi"/>
          <w:color w:val="000000"/>
          <w:sz w:val="24"/>
          <w:szCs w:val="24"/>
        </w:rPr>
        <w:t>Costarino</w:t>
      </w:r>
      <w:proofErr w:type="spellEnd"/>
      <w:r w:rsidRPr="008B1FA4">
        <w:rPr>
          <w:rFonts w:eastAsia="Times New Roman" w:cstheme="minorHAnsi"/>
          <w:color w:val="000000"/>
          <w:sz w:val="24"/>
          <w:szCs w:val="24"/>
        </w:rPr>
        <w:t xml:space="preserve"> AT, Marino BS, Rossano JW, </w:t>
      </w:r>
      <w:proofErr w:type="spellStart"/>
      <w:r w:rsidRPr="008B1FA4">
        <w:rPr>
          <w:rFonts w:eastAsia="Times New Roman" w:cstheme="minorHAnsi"/>
          <w:color w:val="000000"/>
          <w:sz w:val="24"/>
          <w:szCs w:val="24"/>
        </w:rPr>
        <w:t>Shamszad</w:t>
      </w:r>
      <w:proofErr w:type="spellEnd"/>
      <w:r w:rsidRPr="008B1FA4">
        <w:rPr>
          <w:rFonts w:eastAsia="Times New Roman" w:cstheme="minorHAnsi"/>
          <w:color w:val="000000"/>
          <w:sz w:val="24"/>
          <w:szCs w:val="24"/>
        </w:rPr>
        <w:t xml:space="preserve"> P.</w:t>
      </w:r>
    </w:p>
    <w:p w14:paraId="74036620" w14:textId="77777777" w:rsidR="0024597F" w:rsidRPr="008B1FA4" w:rsidRDefault="0024597F" w:rsidP="0024597F">
      <w:pPr>
        <w:spacing w:after="0"/>
        <w:rPr>
          <w:rFonts w:eastAsia="Times New Roman" w:cstheme="minorHAnsi"/>
          <w:color w:val="000000"/>
          <w:sz w:val="24"/>
          <w:szCs w:val="24"/>
        </w:rPr>
      </w:pPr>
      <w:r w:rsidRPr="008B1FA4">
        <w:rPr>
          <w:rFonts w:eastAsia="Times New Roman" w:cstheme="minorHAnsi"/>
          <w:color w:val="000000"/>
          <w:sz w:val="24"/>
          <w:szCs w:val="24"/>
        </w:rPr>
        <w:t xml:space="preserve">Pediatr </w:t>
      </w:r>
      <w:proofErr w:type="spellStart"/>
      <w:r w:rsidRPr="008B1FA4">
        <w:rPr>
          <w:rFonts w:eastAsia="Times New Roman" w:cstheme="minorHAnsi"/>
          <w:color w:val="000000"/>
          <w:sz w:val="24"/>
          <w:szCs w:val="24"/>
        </w:rPr>
        <w:t>Crit</w:t>
      </w:r>
      <w:proofErr w:type="spellEnd"/>
      <w:r w:rsidRPr="008B1FA4">
        <w:rPr>
          <w:rFonts w:eastAsia="Times New Roman" w:cstheme="minorHAnsi"/>
          <w:color w:val="000000"/>
          <w:sz w:val="24"/>
          <w:szCs w:val="24"/>
        </w:rPr>
        <w:t xml:space="preserve"> Care Med. 2019 Sep 20. doi: 10.1097/PCC.0000000000002133. [Epub ahead of print]</w:t>
      </w:r>
    </w:p>
    <w:p w14:paraId="4171C54C" w14:textId="77777777" w:rsidR="0024597F" w:rsidRPr="008B1FA4" w:rsidRDefault="0024597F" w:rsidP="0024597F">
      <w:pPr>
        <w:spacing w:after="0"/>
        <w:rPr>
          <w:rFonts w:eastAsia="Times New Roman" w:cstheme="minorHAnsi"/>
          <w:color w:val="000000"/>
          <w:sz w:val="24"/>
          <w:szCs w:val="24"/>
        </w:rPr>
      </w:pPr>
      <w:r w:rsidRPr="008B1FA4">
        <w:rPr>
          <w:rFonts w:eastAsia="Times New Roman" w:cstheme="minorHAnsi"/>
          <w:color w:val="454545"/>
          <w:sz w:val="24"/>
          <w:szCs w:val="24"/>
        </w:rPr>
        <w:t>PMID: 31568264</w:t>
      </w:r>
    </w:p>
    <w:p w14:paraId="44AACF33" w14:textId="77777777" w:rsidR="0024597F" w:rsidRPr="008B1FA4" w:rsidRDefault="006B4E49" w:rsidP="0024597F">
      <w:pPr>
        <w:spacing w:after="0"/>
        <w:rPr>
          <w:rFonts w:eastAsia="Times New Roman" w:cstheme="minorHAnsi"/>
          <w:color w:val="000000"/>
          <w:sz w:val="24"/>
          <w:szCs w:val="24"/>
        </w:rPr>
      </w:pPr>
      <w:hyperlink r:id="rId5" w:history="1">
        <w:r w:rsidR="0024597F" w:rsidRPr="008B1FA4">
          <w:rPr>
            <w:rFonts w:eastAsia="Times New Roman" w:cstheme="minorHAnsi"/>
            <w:color w:val="53509A"/>
            <w:sz w:val="24"/>
            <w:szCs w:val="24"/>
            <w:u w:val="single"/>
          </w:rPr>
          <w:t>Similar articles</w:t>
        </w:r>
      </w:hyperlink>
    </w:p>
    <w:p w14:paraId="67DBA227" w14:textId="77777777" w:rsidR="0024597F" w:rsidRPr="008B1FA4" w:rsidRDefault="0024597F" w:rsidP="0024597F">
      <w:pPr>
        <w:spacing w:after="0"/>
        <w:rPr>
          <w:rFonts w:eastAsia="Times New Roman" w:cstheme="minorHAnsi"/>
          <w:color w:val="000000"/>
          <w:sz w:val="24"/>
          <w:szCs w:val="24"/>
        </w:rPr>
      </w:pPr>
      <w:r w:rsidRPr="008B1FA4">
        <w:rPr>
          <w:rFonts w:eastAsia="Times New Roman" w:cstheme="minorHAnsi"/>
          <w:color w:val="000000"/>
          <w:sz w:val="24"/>
          <w:szCs w:val="24"/>
        </w:rPr>
        <w:t>Select item 31546957</w:t>
      </w:r>
    </w:p>
    <w:p w14:paraId="6FE8AF12" w14:textId="77777777" w:rsidR="0024597F" w:rsidRPr="008B1FA4" w:rsidRDefault="0024597F" w:rsidP="0024597F">
      <w:pPr>
        <w:rPr>
          <w:rFonts w:eastAsia="Times New Roman" w:cstheme="minorHAnsi"/>
          <w:color w:val="000000"/>
          <w:sz w:val="24"/>
          <w:szCs w:val="24"/>
        </w:rPr>
      </w:pPr>
    </w:p>
    <w:p w14:paraId="4C913DE0" w14:textId="77777777" w:rsidR="0024597F" w:rsidRPr="008B1FA4" w:rsidRDefault="0024597F" w:rsidP="0024597F">
      <w:pPr>
        <w:rPr>
          <w:rFonts w:cstheme="minorHAnsi"/>
          <w:sz w:val="24"/>
          <w:szCs w:val="24"/>
        </w:rPr>
      </w:pPr>
      <w:r w:rsidRPr="0015453B">
        <w:rPr>
          <w:rFonts w:cstheme="minorHAnsi"/>
          <w:b/>
          <w:bCs/>
          <w:sz w:val="24"/>
          <w:szCs w:val="24"/>
        </w:rPr>
        <w:t xml:space="preserve">Take-Home </w:t>
      </w:r>
      <w:r>
        <w:rPr>
          <w:rFonts w:cstheme="minorHAnsi"/>
          <w:b/>
          <w:bCs/>
          <w:sz w:val="24"/>
          <w:szCs w:val="24"/>
        </w:rPr>
        <w:t>P</w:t>
      </w:r>
      <w:r w:rsidRPr="0015453B">
        <w:rPr>
          <w:rFonts w:cstheme="minorHAnsi"/>
          <w:b/>
          <w:bCs/>
          <w:sz w:val="24"/>
          <w:szCs w:val="24"/>
        </w:rPr>
        <w:t>oints:</w:t>
      </w:r>
    </w:p>
    <w:p w14:paraId="7AFF896C" w14:textId="77777777" w:rsidR="0024597F" w:rsidRPr="009B612B" w:rsidRDefault="0024597F" w:rsidP="0024597F">
      <w:pPr>
        <w:pStyle w:val="ListParagraph"/>
        <w:numPr>
          <w:ilvl w:val="0"/>
          <w:numId w:val="1"/>
        </w:numPr>
        <w:spacing w:after="160" w:line="259" w:lineRule="auto"/>
        <w:rPr>
          <w:rFonts w:cstheme="minorHAnsi"/>
        </w:rPr>
      </w:pPr>
      <w:r w:rsidRPr="009B612B">
        <w:rPr>
          <w:rFonts w:cstheme="minorHAnsi"/>
        </w:rPr>
        <w:t>The prevalence of NEC in neonates with congenital heart disease is 3.7 %.</w:t>
      </w:r>
    </w:p>
    <w:p w14:paraId="3847E647" w14:textId="77777777" w:rsidR="0024597F" w:rsidRPr="009B612B" w:rsidRDefault="0024597F" w:rsidP="0024597F">
      <w:pPr>
        <w:pStyle w:val="ListParagraph"/>
        <w:numPr>
          <w:ilvl w:val="0"/>
          <w:numId w:val="1"/>
        </w:numPr>
        <w:spacing w:after="160" w:line="259" w:lineRule="auto"/>
        <w:rPr>
          <w:rFonts w:cstheme="minorHAnsi"/>
        </w:rPr>
      </w:pPr>
      <w:r w:rsidRPr="009B612B">
        <w:rPr>
          <w:rFonts w:cstheme="minorHAnsi"/>
        </w:rPr>
        <w:t>Hypoplastic Left Heart Syndrome and TA were the two cardiac lesions associated with the highest frequency of NEC. The odds of developing NEC were 2.7 and 2.6 times when compared to the lesion with the lowest incidence of NEC, that is Transposition of great arteries.</w:t>
      </w:r>
    </w:p>
    <w:p w14:paraId="3959F6F4" w14:textId="77777777" w:rsidR="0024597F" w:rsidRPr="009B612B" w:rsidRDefault="0024597F" w:rsidP="0024597F">
      <w:pPr>
        <w:pStyle w:val="ListParagraph"/>
        <w:numPr>
          <w:ilvl w:val="0"/>
          <w:numId w:val="1"/>
        </w:numPr>
        <w:spacing w:after="160" w:line="259" w:lineRule="auto"/>
        <w:rPr>
          <w:rFonts w:cstheme="minorHAnsi"/>
        </w:rPr>
      </w:pPr>
      <w:r w:rsidRPr="009B612B">
        <w:rPr>
          <w:rFonts w:cstheme="minorHAnsi"/>
        </w:rPr>
        <w:t xml:space="preserve">Adjusted risk factors  associated with the development of NEC included prematurity, male sex, AA race, GI abnormality, and additional birth defects.  </w:t>
      </w:r>
    </w:p>
    <w:p w14:paraId="4B63BB38" w14:textId="77777777" w:rsidR="0024597F" w:rsidRPr="009B612B" w:rsidRDefault="0024597F" w:rsidP="0024597F">
      <w:pPr>
        <w:pStyle w:val="ListParagraph"/>
        <w:numPr>
          <w:ilvl w:val="0"/>
          <w:numId w:val="1"/>
        </w:numPr>
        <w:spacing w:after="160" w:line="259" w:lineRule="auto"/>
        <w:rPr>
          <w:rFonts w:cstheme="minorHAnsi"/>
        </w:rPr>
      </w:pPr>
      <w:r w:rsidRPr="009B612B">
        <w:rPr>
          <w:rFonts w:cstheme="minorHAnsi"/>
        </w:rPr>
        <w:t>The overall hospital mortality of neonates with CHD and NEC  was significantly higher than compared to neonates with CHD  and no NEC.</w:t>
      </w:r>
    </w:p>
    <w:p w14:paraId="4C121F3F" w14:textId="77777777" w:rsidR="0024597F" w:rsidRPr="009B612B" w:rsidRDefault="0024597F" w:rsidP="0024597F">
      <w:pPr>
        <w:pStyle w:val="ListParagraph"/>
        <w:numPr>
          <w:ilvl w:val="0"/>
          <w:numId w:val="1"/>
        </w:numPr>
        <w:spacing w:after="160" w:line="259" w:lineRule="auto"/>
        <w:rPr>
          <w:rFonts w:cstheme="minorHAnsi"/>
        </w:rPr>
      </w:pPr>
      <w:r w:rsidRPr="009B612B">
        <w:rPr>
          <w:rFonts w:cstheme="minorHAnsi"/>
        </w:rPr>
        <w:t>NEC was also associated with increased total hospital charges, longer ICU LOS and hospital LOS when compared to those without NEC and the association remained significant when analyzed by the individual cardiac defect.</w:t>
      </w:r>
    </w:p>
    <w:p w14:paraId="6E458DCC" w14:textId="77777777" w:rsidR="0024597F" w:rsidRPr="009B612B" w:rsidRDefault="0024597F" w:rsidP="0024597F">
      <w:pPr>
        <w:pStyle w:val="ListParagraph"/>
        <w:numPr>
          <w:ilvl w:val="0"/>
          <w:numId w:val="1"/>
        </w:numPr>
        <w:spacing w:after="160" w:line="259" w:lineRule="auto"/>
        <w:rPr>
          <w:rFonts w:cstheme="minorHAnsi"/>
        </w:rPr>
      </w:pPr>
      <w:r w:rsidRPr="009B612B">
        <w:rPr>
          <w:rFonts w:cstheme="minorHAnsi"/>
        </w:rPr>
        <w:t>No association was found with a 30-day readmission rate.</w:t>
      </w:r>
    </w:p>
    <w:p w14:paraId="7D5DCA1C" w14:textId="21E66C8A" w:rsidR="0024597F" w:rsidRDefault="0024597F" w:rsidP="0024597F">
      <w:pPr>
        <w:rPr>
          <w:rFonts w:eastAsia="Times New Roman" w:cstheme="minorHAnsi"/>
          <w:color w:val="000000"/>
          <w:sz w:val="24"/>
          <w:szCs w:val="24"/>
        </w:rPr>
      </w:pPr>
    </w:p>
    <w:p w14:paraId="1FDEB49D" w14:textId="1294D8AE" w:rsidR="00752A76" w:rsidRDefault="00DB748C" w:rsidP="0024597F">
      <w:pPr>
        <w:rPr>
          <w:rFonts w:eastAsia="Times New Roman" w:cstheme="minorHAnsi"/>
          <w:color w:val="000000"/>
          <w:sz w:val="24"/>
          <w:szCs w:val="24"/>
        </w:rPr>
      </w:pPr>
      <w:bookmarkStart w:id="0" w:name="_GoBack"/>
      <w:r>
        <w:rPr>
          <w:noProof/>
        </w:rPr>
        <w:drawing>
          <wp:inline distT="0" distB="0" distL="0" distR="0" wp14:anchorId="77A29E98" wp14:editId="5755F683">
            <wp:extent cx="1824318" cy="2584450"/>
            <wp:effectExtent l="0" t="0" r="508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842452" cy="2610140"/>
                    </a:xfrm>
                    <a:prstGeom prst="rect">
                      <a:avLst/>
                    </a:prstGeom>
                    <a:noFill/>
                    <a:ln>
                      <a:noFill/>
                    </a:ln>
                  </pic:spPr>
                </pic:pic>
              </a:graphicData>
            </a:graphic>
          </wp:inline>
        </w:drawing>
      </w:r>
      <w:bookmarkEnd w:id="0"/>
    </w:p>
    <w:p w14:paraId="121F8FE2" w14:textId="77777777" w:rsidR="0024597F" w:rsidRPr="008B1FA4" w:rsidRDefault="0024597F" w:rsidP="0024597F">
      <w:pPr>
        <w:rPr>
          <w:rFonts w:cstheme="minorHAnsi"/>
          <w:sz w:val="24"/>
          <w:szCs w:val="24"/>
        </w:rPr>
      </w:pPr>
      <w:r w:rsidRPr="008B1FA4">
        <w:rPr>
          <w:rFonts w:cstheme="minorHAnsi"/>
          <w:b/>
          <w:bCs/>
          <w:color w:val="373737"/>
          <w:sz w:val="24"/>
          <w:szCs w:val="24"/>
          <w:shd w:val="clear" w:color="auto" w:fill="FFFFFF"/>
        </w:rPr>
        <w:lastRenderedPageBreak/>
        <w:t xml:space="preserve">Commentary from Dr. </w:t>
      </w:r>
      <w:r>
        <w:rPr>
          <w:rFonts w:cstheme="minorHAnsi"/>
          <w:b/>
          <w:bCs/>
          <w:color w:val="373737"/>
          <w:sz w:val="24"/>
          <w:szCs w:val="24"/>
          <w:shd w:val="clear" w:color="auto" w:fill="FFFFFF"/>
        </w:rPr>
        <w:t>Venugopal</w:t>
      </w:r>
      <w:r w:rsidRPr="008B1FA4">
        <w:rPr>
          <w:rFonts w:cstheme="minorHAnsi"/>
          <w:b/>
          <w:bCs/>
          <w:color w:val="373737"/>
          <w:sz w:val="24"/>
          <w:szCs w:val="24"/>
          <w:shd w:val="clear" w:color="auto" w:fill="FFFFFF"/>
        </w:rPr>
        <w:t xml:space="preserve"> </w:t>
      </w:r>
      <w:r>
        <w:rPr>
          <w:rFonts w:cstheme="minorHAnsi"/>
          <w:b/>
          <w:bCs/>
          <w:color w:val="373737"/>
          <w:sz w:val="24"/>
          <w:szCs w:val="24"/>
          <w:shd w:val="clear" w:color="auto" w:fill="FFFFFF"/>
        </w:rPr>
        <w:t xml:space="preserve">Amula </w:t>
      </w:r>
      <w:r w:rsidRPr="008B1FA4">
        <w:rPr>
          <w:rFonts w:cstheme="minorHAnsi"/>
          <w:b/>
          <w:bCs/>
          <w:color w:val="373737"/>
          <w:sz w:val="24"/>
          <w:szCs w:val="24"/>
          <w:shd w:val="clear" w:color="auto" w:fill="FFFFFF"/>
        </w:rPr>
        <w:t>(</w:t>
      </w:r>
      <w:r>
        <w:rPr>
          <w:rFonts w:cstheme="minorHAnsi"/>
          <w:b/>
          <w:bCs/>
          <w:color w:val="373737"/>
          <w:sz w:val="24"/>
          <w:szCs w:val="24"/>
          <w:shd w:val="clear" w:color="auto" w:fill="FFFFFF"/>
        </w:rPr>
        <w:t>Salt Lake City, UT</w:t>
      </w:r>
      <w:r w:rsidRPr="008B1FA4">
        <w:rPr>
          <w:rFonts w:cstheme="minorHAnsi"/>
          <w:b/>
          <w:bCs/>
          <w:color w:val="373737"/>
          <w:sz w:val="24"/>
          <w:szCs w:val="24"/>
          <w:shd w:val="clear" w:color="auto" w:fill="FFFFFF"/>
        </w:rPr>
        <w:t>), section editor of Pediatric Cardiology Journal Watch: </w:t>
      </w:r>
      <w:r>
        <w:rPr>
          <w:rFonts w:cstheme="minorHAnsi"/>
          <w:b/>
          <w:bCs/>
          <w:color w:val="373737"/>
          <w:sz w:val="24"/>
          <w:szCs w:val="24"/>
          <w:shd w:val="clear" w:color="auto" w:fill="FFFFFF"/>
        </w:rPr>
        <w:t xml:space="preserve"> </w:t>
      </w:r>
      <w:r w:rsidRPr="008B1FA4">
        <w:rPr>
          <w:rFonts w:cstheme="minorHAnsi"/>
          <w:sz w:val="24"/>
          <w:szCs w:val="24"/>
        </w:rPr>
        <w:t>This is a retrospective multi-institutional study describing the prevalence and mortality of necrotizing enterocolitis (NEC) in neonates with congenital heart disease. The Pediatric Health Information System database was queried for all index hospitalizations involving neonates with CHD between 2004 to 2015 and the primary outcome was the presence of NEC during the index hospitalization. Secondary outcomes studied included in-hospital mortality, hospital LOS, ICU LOS, hospital charges and 30-day readmission. Multivariable analysis for the presence of NEC and in-hospital mortality were performed for each heart defect category utilizing generalized estimating equations to adjust for hospital clustering. The heart defect categories included Single ventricle, Tricuspid atresia (TA), Truncus arteriosus, Transposition of great arteries, Tetralogy of Fallot and isolated arch obstruction. Variables included in the multivariable model for the presence of NEC were prematurity, African American race, male sex, additional birth defect or GI anomaly.</w:t>
      </w:r>
    </w:p>
    <w:p w14:paraId="5FDF8061" w14:textId="77777777" w:rsidR="0024597F" w:rsidRPr="008B1FA4" w:rsidRDefault="0024597F" w:rsidP="0024597F">
      <w:pPr>
        <w:rPr>
          <w:rFonts w:cstheme="minorHAnsi"/>
          <w:sz w:val="24"/>
          <w:szCs w:val="24"/>
        </w:rPr>
      </w:pPr>
    </w:p>
    <w:p w14:paraId="1C4CFAAF" w14:textId="77777777" w:rsidR="0024597F" w:rsidRPr="008B1FA4" w:rsidRDefault="0024597F" w:rsidP="0024597F">
      <w:pPr>
        <w:rPr>
          <w:rFonts w:cstheme="minorHAnsi"/>
          <w:sz w:val="24"/>
          <w:szCs w:val="24"/>
        </w:rPr>
      </w:pPr>
    </w:p>
    <w:p w14:paraId="5039BF33" w14:textId="77777777" w:rsidR="0024597F" w:rsidRPr="008B1FA4" w:rsidRDefault="0024597F" w:rsidP="0024597F">
      <w:pPr>
        <w:rPr>
          <w:rFonts w:cstheme="minorHAnsi"/>
          <w:sz w:val="24"/>
          <w:szCs w:val="24"/>
        </w:rPr>
      </w:pPr>
    </w:p>
    <w:p w14:paraId="5268E723" w14:textId="77777777" w:rsidR="0024597F" w:rsidRPr="008B1FA4" w:rsidRDefault="0024597F" w:rsidP="0024597F">
      <w:pPr>
        <w:rPr>
          <w:rFonts w:cstheme="minorHAnsi"/>
          <w:sz w:val="24"/>
          <w:szCs w:val="24"/>
        </w:rPr>
      </w:pPr>
      <w:r w:rsidRPr="008B1FA4">
        <w:rPr>
          <w:rFonts w:cstheme="minorHAnsi"/>
          <w:noProof/>
          <w:sz w:val="24"/>
          <w:szCs w:val="24"/>
        </w:rPr>
        <w:drawing>
          <wp:inline distT="0" distB="0" distL="0" distR="0" wp14:anchorId="1BDC9D79" wp14:editId="7991EB78">
            <wp:extent cx="5943600" cy="1812290"/>
            <wp:effectExtent l="0" t="0" r="0" b="381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1812290"/>
                    </a:xfrm>
                    <a:prstGeom prst="rect">
                      <a:avLst/>
                    </a:prstGeom>
                  </pic:spPr>
                </pic:pic>
              </a:graphicData>
            </a:graphic>
          </wp:inline>
        </w:drawing>
      </w:r>
    </w:p>
    <w:p w14:paraId="1D77FADD" w14:textId="77777777" w:rsidR="0024597F" w:rsidRPr="008B1FA4" w:rsidRDefault="0024597F" w:rsidP="0024597F">
      <w:pPr>
        <w:rPr>
          <w:rFonts w:cstheme="minorHAnsi"/>
          <w:sz w:val="24"/>
          <w:szCs w:val="24"/>
        </w:rPr>
      </w:pPr>
    </w:p>
    <w:p w14:paraId="1EDFBF43" w14:textId="77777777" w:rsidR="0024597F" w:rsidRPr="008B1FA4" w:rsidRDefault="0024597F" w:rsidP="0024597F">
      <w:pPr>
        <w:rPr>
          <w:rFonts w:cstheme="minorHAnsi"/>
          <w:sz w:val="24"/>
          <w:szCs w:val="24"/>
        </w:rPr>
      </w:pPr>
    </w:p>
    <w:p w14:paraId="08B9320E" w14:textId="77777777" w:rsidR="0024597F" w:rsidRPr="008B1FA4" w:rsidRDefault="0024597F" w:rsidP="0024597F">
      <w:pPr>
        <w:rPr>
          <w:rFonts w:cstheme="minorHAnsi"/>
          <w:sz w:val="24"/>
          <w:szCs w:val="24"/>
        </w:rPr>
      </w:pPr>
    </w:p>
    <w:p w14:paraId="43C1E5DA" w14:textId="77777777" w:rsidR="0024597F" w:rsidRPr="008B1FA4" w:rsidRDefault="0024597F" w:rsidP="0024597F">
      <w:pPr>
        <w:rPr>
          <w:rFonts w:cstheme="minorHAnsi"/>
          <w:sz w:val="24"/>
          <w:szCs w:val="24"/>
        </w:rPr>
      </w:pPr>
    </w:p>
    <w:p w14:paraId="009BC0D4" w14:textId="77777777" w:rsidR="0024597F" w:rsidRPr="008B1FA4" w:rsidRDefault="0024597F" w:rsidP="0024597F">
      <w:pPr>
        <w:rPr>
          <w:rFonts w:cstheme="minorHAnsi"/>
          <w:sz w:val="24"/>
          <w:szCs w:val="24"/>
        </w:rPr>
      </w:pPr>
    </w:p>
    <w:p w14:paraId="72413651" w14:textId="77777777" w:rsidR="0024597F" w:rsidRPr="008B1FA4" w:rsidRDefault="0024597F" w:rsidP="0024597F">
      <w:pPr>
        <w:rPr>
          <w:rFonts w:cstheme="minorHAnsi"/>
          <w:sz w:val="24"/>
          <w:szCs w:val="24"/>
        </w:rPr>
      </w:pPr>
      <w:r w:rsidRPr="008B1FA4">
        <w:rPr>
          <w:rFonts w:cstheme="minorHAnsi"/>
          <w:noProof/>
          <w:sz w:val="24"/>
          <w:szCs w:val="24"/>
        </w:rPr>
        <w:lastRenderedPageBreak/>
        <w:drawing>
          <wp:inline distT="0" distB="0" distL="0" distR="0" wp14:anchorId="6E03437E" wp14:editId="0E411E01">
            <wp:extent cx="4152900" cy="3479800"/>
            <wp:effectExtent l="0" t="0" r="0" b="0"/>
            <wp:docPr id="25" name="Picture 2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152900" cy="3479800"/>
                    </a:xfrm>
                    <a:prstGeom prst="rect">
                      <a:avLst/>
                    </a:prstGeom>
                  </pic:spPr>
                </pic:pic>
              </a:graphicData>
            </a:graphic>
          </wp:inline>
        </w:drawing>
      </w:r>
    </w:p>
    <w:p w14:paraId="4ACDAF32" w14:textId="77777777" w:rsidR="0024597F" w:rsidRPr="008B1FA4" w:rsidRDefault="0024597F" w:rsidP="0024597F">
      <w:pPr>
        <w:rPr>
          <w:rFonts w:cstheme="minorHAnsi"/>
          <w:sz w:val="24"/>
          <w:szCs w:val="24"/>
        </w:rPr>
      </w:pPr>
    </w:p>
    <w:p w14:paraId="4FC6FA96" w14:textId="77777777" w:rsidR="0024597F" w:rsidRPr="008B1FA4" w:rsidRDefault="0024597F" w:rsidP="0024597F">
      <w:pPr>
        <w:rPr>
          <w:rFonts w:eastAsia="Times New Roman" w:cstheme="minorHAnsi"/>
          <w:color w:val="000000"/>
          <w:sz w:val="24"/>
          <w:szCs w:val="24"/>
        </w:rPr>
      </w:pPr>
    </w:p>
    <w:p w14:paraId="1F883C23" w14:textId="77777777" w:rsidR="0024597F" w:rsidRPr="008B1FA4" w:rsidRDefault="0024597F" w:rsidP="0024597F">
      <w:pPr>
        <w:rPr>
          <w:rFonts w:eastAsia="Times New Roman" w:cstheme="minorHAnsi"/>
          <w:color w:val="000000"/>
          <w:sz w:val="24"/>
          <w:szCs w:val="24"/>
        </w:rPr>
      </w:pPr>
      <w:r w:rsidRPr="008B1FA4">
        <w:rPr>
          <w:rFonts w:cstheme="minorHAnsi"/>
          <w:noProof/>
          <w:sz w:val="24"/>
          <w:szCs w:val="24"/>
        </w:rPr>
        <w:drawing>
          <wp:inline distT="0" distB="0" distL="0" distR="0" wp14:anchorId="7328CF1F" wp14:editId="7F9ED264">
            <wp:extent cx="5943600" cy="1849755"/>
            <wp:effectExtent l="0" t="0" r="0" b="4445"/>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1849755"/>
                    </a:xfrm>
                    <a:prstGeom prst="rect">
                      <a:avLst/>
                    </a:prstGeom>
                  </pic:spPr>
                </pic:pic>
              </a:graphicData>
            </a:graphic>
          </wp:inline>
        </w:drawing>
      </w:r>
    </w:p>
    <w:p w14:paraId="4877D6EB" w14:textId="77777777" w:rsidR="0024597F" w:rsidRPr="008B1FA4" w:rsidRDefault="0024597F" w:rsidP="0024597F">
      <w:pPr>
        <w:rPr>
          <w:rFonts w:eastAsia="Times New Roman" w:cstheme="minorHAnsi"/>
          <w:color w:val="000000"/>
          <w:sz w:val="24"/>
          <w:szCs w:val="24"/>
        </w:rPr>
      </w:pPr>
    </w:p>
    <w:p w14:paraId="387CC4CC" w14:textId="77777777" w:rsidR="0024597F" w:rsidRPr="008B1FA4" w:rsidRDefault="0024597F" w:rsidP="0024597F">
      <w:pPr>
        <w:rPr>
          <w:rFonts w:eastAsia="Times New Roman" w:cstheme="minorHAnsi"/>
          <w:color w:val="000000"/>
          <w:sz w:val="24"/>
          <w:szCs w:val="24"/>
        </w:rPr>
      </w:pPr>
    </w:p>
    <w:p w14:paraId="25968E44" w14:textId="77777777" w:rsidR="0024597F" w:rsidRPr="008B1FA4" w:rsidRDefault="0024597F" w:rsidP="0024597F">
      <w:pPr>
        <w:rPr>
          <w:rFonts w:eastAsia="Times New Roman" w:cstheme="minorHAnsi"/>
          <w:color w:val="000000"/>
          <w:sz w:val="24"/>
          <w:szCs w:val="24"/>
        </w:rPr>
      </w:pPr>
    </w:p>
    <w:p w14:paraId="2E357813" w14:textId="77777777" w:rsidR="001B2259" w:rsidRDefault="001B2259"/>
    <w:sectPr w:rsidR="001B225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142A14"/>
    <w:multiLevelType w:val="hybridMultilevel"/>
    <w:tmpl w:val="0900B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CE461CA7-AD11-4535-A868-62AE20D542D9}"/>
    <w:docVar w:name="dgnword-eventsink" w:val="2459026645984"/>
  </w:docVars>
  <w:rsids>
    <w:rsidRoot w:val="0024597F"/>
    <w:rsid w:val="001B2259"/>
    <w:rsid w:val="0024597F"/>
    <w:rsid w:val="005C205F"/>
    <w:rsid w:val="006B4E49"/>
    <w:rsid w:val="00752A76"/>
    <w:rsid w:val="00DB74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CB18FC"/>
  <w15:chartTrackingRefBased/>
  <w15:docId w15:val="{57238CC3-A253-45C5-9BBC-816B70233A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597F"/>
  </w:style>
  <w:style w:type="paragraph" w:styleId="Heading1">
    <w:name w:val="heading 1"/>
    <w:basedOn w:val="Normal"/>
    <w:next w:val="Normal"/>
    <w:link w:val="Heading1Char"/>
    <w:uiPriority w:val="9"/>
    <w:qFormat/>
    <w:rsid w:val="0024597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4597F"/>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24597F"/>
    <w:pPr>
      <w:spacing w:after="0" w:line="240" w:lineRule="auto"/>
      <w:ind w:left="720"/>
      <w:contextualSpacing/>
    </w:pPr>
    <w:rPr>
      <w:rFonts w:eastAsiaTheme="minorEastAsia"/>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3" Type="http://schemas.openxmlformats.org/officeDocument/2006/relationships/settings" Target="settings.xml"/><Relationship Id="rId7" Type="http://schemas.openxmlformats.org/officeDocument/2006/relationships/image" Target="media/image2.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theme" Target="theme/theme1.xml"/><Relationship Id="rId5" Type="http://schemas.openxmlformats.org/officeDocument/2006/relationships/hyperlink" Target="https://www.ncbi.nlm.nih.gov/pubmed?linkname=pubmed_pubmed&amp;from_uid=31568264" TargetMode="Externa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3</Pages>
  <Words>397</Words>
  <Characters>2268</Characters>
  <Application>Microsoft Office Word</Application>
  <DocSecurity>0</DocSecurity>
  <Lines>18</Lines>
  <Paragraphs>5</Paragraphs>
  <ScaleCrop>false</ScaleCrop>
  <Company/>
  <LinksUpToDate>false</LinksUpToDate>
  <CharactersWithSpaces>2660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Gary Webb</dc:creator>
  <cp:keywords/>
  <dc:description/>
  <cp:lastModifiedBy>Gary Webb</cp:lastModifiedBy>
  <cp:revision>4</cp:revision>
  <dcterms:created xsi:type="dcterms:W3CDTF">2020-03-23T20:03:00Z</dcterms:created>
  <dcterms:modified xsi:type="dcterms:W3CDTF">2020-03-27T18:53:00Z</dcterms:modified>
</cp:coreProperties>
</file>