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555F26" w14:textId="77777777" w:rsidR="00526C6E" w:rsidRPr="001F2DF9" w:rsidRDefault="00526C6E" w:rsidP="00526C6E">
      <w:pPr>
        <w:pStyle w:val="Heading1"/>
      </w:pPr>
      <w:hyperlink r:id="rId5" w:history="1">
        <w:r w:rsidRPr="001F2DF9">
          <w:rPr>
            <w:rStyle w:val="Hyperlink"/>
            <w:highlight w:val="yellow"/>
          </w:rPr>
          <w:t>Transposition of the great arteries: Fetal pulmonary valve growth and postoperative neo-aortic root dilatation.</w:t>
        </w:r>
      </w:hyperlink>
      <w:r w:rsidRPr="001F2DF9">
        <w:t xml:space="preserve">  </w:t>
      </w:r>
    </w:p>
    <w:p w14:paraId="4D2FEBF4" w14:textId="77777777" w:rsidR="00526C6E" w:rsidRPr="00BA5562" w:rsidRDefault="00526C6E" w:rsidP="00526C6E">
      <w:pPr>
        <w:pStyle w:val="Title1"/>
        <w:shd w:val="clear" w:color="auto" w:fill="FFFFFF"/>
        <w:rPr>
          <w:rFonts w:asciiTheme="minorHAnsi" w:hAnsiTheme="minorHAnsi" w:cstheme="minorHAnsi"/>
          <w:color w:val="000000"/>
          <w:sz w:val="24"/>
          <w:szCs w:val="24"/>
        </w:rPr>
      </w:pPr>
      <w:r w:rsidRPr="00BA5562">
        <w:rPr>
          <w:rFonts w:asciiTheme="minorHAnsi" w:hAnsiTheme="minorHAnsi" w:cstheme="minorHAnsi"/>
          <w:color w:val="000000"/>
          <w:sz w:val="24"/>
          <w:szCs w:val="24"/>
        </w:rPr>
        <w:t>van der Palen RLF, van der Zee C, Vink AS, Knobbe I, Jurgens SJ, van Leeuwen E, Bax CJ, du Marchie Sarvaas GJ, Blom NA, Haak MC, Bilardo CM, Clur SB.</w:t>
      </w:r>
    </w:p>
    <w:p w14:paraId="427BBD7E" w14:textId="77777777" w:rsidR="00526C6E" w:rsidRPr="00BA5562" w:rsidRDefault="00526C6E" w:rsidP="00526C6E">
      <w:pPr>
        <w:pStyle w:val="details"/>
        <w:shd w:val="clear" w:color="auto" w:fill="FFFFFF"/>
        <w:rPr>
          <w:rFonts w:asciiTheme="minorHAnsi" w:hAnsiTheme="minorHAnsi" w:cstheme="minorHAnsi"/>
          <w:color w:val="000000"/>
          <w:sz w:val="24"/>
          <w:szCs w:val="24"/>
        </w:rPr>
      </w:pPr>
      <w:r w:rsidRPr="00BA5562">
        <w:rPr>
          <w:rStyle w:val="jrnl"/>
          <w:rFonts w:asciiTheme="minorHAnsi" w:hAnsiTheme="minorHAnsi" w:cstheme="minorHAnsi"/>
          <w:color w:val="000000"/>
          <w:sz w:val="24"/>
          <w:szCs w:val="24"/>
        </w:rPr>
        <w:t>Prenat Diagn</w:t>
      </w:r>
      <w:r w:rsidRPr="00BA5562">
        <w:rPr>
          <w:rFonts w:asciiTheme="minorHAnsi" w:hAnsiTheme="minorHAnsi" w:cstheme="minorHAnsi"/>
          <w:color w:val="000000"/>
          <w:sz w:val="24"/>
          <w:szCs w:val="24"/>
        </w:rPr>
        <w:t>. 2019 Jul 27. doi: 10.1002/pd.5539. [Epub ahead of print]</w:t>
      </w:r>
    </w:p>
    <w:p w14:paraId="20215A0D" w14:textId="77777777" w:rsidR="00526C6E" w:rsidRPr="00BA5562" w:rsidRDefault="00526C6E" w:rsidP="00526C6E">
      <w:pPr>
        <w:rPr>
          <w:rFonts w:cstheme="minorHAnsi"/>
        </w:rPr>
      </w:pPr>
    </w:p>
    <w:p w14:paraId="3A885EF1" w14:textId="77777777" w:rsidR="00526C6E" w:rsidRPr="00F0585E" w:rsidRDefault="00526C6E" w:rsidP="00526C6E">
      <w:pPr>
        <w:rPr>
          <w:rFonts w:cstheme="minorHAnsi"/>
          <w:b/>
        </w:rPr>
      </w:pPr>
      <w:r w:rsidRPr="00F0585E">
        <w:rPr>
          <w:rFonts w:cstheme="minorHAnsi"/>
          <w:b/>
        </w:rPr>
        <w:t>Take Home Points:</w:t>
      </w:r>
    </w:p>
    <w:p w14:paraId="1CAF2290" w14:textId="77777777" w:rsidR="00526C6E" w:rsidRPr="00F0585E" w:rsidRDefault="00526C6E" w:rsidP="00526C6E">
      <w:pPr>
        <w:pStyle w:val="ListParagraph"/>
        <w:numPr>
          <w:ilvl w:val="0"/>
          <w:numId w:val="1"/>
        </w:numPr>
        <w:rPr>
          <w:rFonts w:cstheme="minorHAnsi"/>
        </w:rPr>
      </w:pPr>
      <w:r w:rsidRPr="00F0585E">
        <w:rPr>
          <w:rFonts w:cstheme="minorHAnsi"/>
        </w:rPr>
        <w:t xml:space="preserve">Neoaortic root dilation is common and occasionally needs intervention in patients born with transposition of great arteries (TGA) who underwent </w:t>
      </w:r>
      <w:r>
        <w:rPr>
          <w:rFonts w:cstheme="minorHAnsi"/>
        </w:rPr>
        <w:t xml:space="preserve">an </w:t>
      </w:r>
      <w:r w:rsidRPr="00F0585E">
        <w:rPr>
          <w:rFonts w:cstheme="minorHAnsi"/>
        </w:rPr>
        <w:t xml:space="preserve">arterial switch operation.  </w:t>
      </w:r>
    </w:p>
    <w:p w14:paraId="05CDAE15" w14:textId="77777777" w:rsidR="00526C6E" w:rsidRPr="00F0585E" w:rsidRDefault="00526C6E" w:rsidP="00526C6E">
      <w:pPr>
        <w:pStyle w:val="ListParagraph"/>
        <w:numPr>
          <w:ilvl w:val="0"/>
          <w:numId w:val="1"/>
        </w:numPr>
        <w:rPr>
          <w:rFonts w:cstheme="minorHAnsi"/>
        </w:rPr>
      </w:pPr>
      <w:r w:rsidRPr="00F0585E">
        <w:rPr>
          <w:rFonts w:cstheme="minorHAnsi"/>
        </w:rPr>
        <w:t>In this longitudinal study of semilunar valve size in fetal TGA subjects, semilunar valve diameter</w:t>
      </w:r>
      <w:r>
        <w:rPr>
          <w:rFonts w:cstheme="minorHAnsi"/>
        </w:rPr>
        <w:t>s</w:t>
      </w:r>
      <w:r w:rsidRPr="00F0585E">
        <w:rPr>
          <w:rFonts w:cstheme="minorHAnsi"/>
        </w:rPr>
        <w:t xml:space="preserve"> are larger than </w:t>
      </w:r>
      <w:r>
        <w:rPr>
          <w:rFonts w:cstheme="minorHAnsi"/>
        </w:rPr>
        <w:t xml:space="preserve">in the </w:t>
      </w:r>
      <w:r w:rsidRPr="00F0585E">
        <w:rPr>
          <w:rFonts w:cstheme="minorHAnsi"/>
        </w:rPr>
        <w:t>normal fetus, especially in those with TGA and VSD.</w:t>
      </w:r>
    </w:p>
    <w:p w14:paraId="3E9BFED8" w14:textId="77777777" w:rsidR="00526C6E" w:rsidRPr="00F0585E" w:rsidRDefault="00526C6E" w:rsidP="00526C6E">
      <w:pPr>
        <w:pStyle w:val="ListParagraph"/>
        <w:numPr>
          <w:ilvl w:val="0"/>
          <w:numId w:val="1"/>
        </w:numPr>
        <w:rPr>
          <w:rFonts w:cstheme="minorHAnsi"/>
        </w:rPr>
      </w:pPr>
      <w:r w:rsidRPr="00F0585E">
        <w:rPr>
          <w:rFonts w:cstheme="minorHAnsi"/>
        </w:rPr>
        <w:t>Prenatal pulmonary valve size at 26 to 30 weeks determine</w:t>
      </w:r>
      <w:r>
        <w:rPr>
          <w:rFonts w:cstheme="minorHAnsi"/>
        </w:rPr>
        <w:t>s</w:t>
      </w:r>
      <w:r w:rsidRPr="00F0585E">
        <w:rPr>
          <w:rFonts w:cstheme="minorHAnsi"/>
        </w:rPr>
        <w:t xml:space="preserve"> neoaortic root size </w:t>
      </w:r>
      <w:r>
        <w:rPr>
          <w:rFonts w:cstheme="minorHAnsi"/>
        </w:rPr>
        <w:t>after</w:t>
      </w:r>
      <w:r w:rsidRPr="00F0585E">
        <w:rPr>
          <w:rFonts w:cstheme="minorHAnsi"/>
        </w:rPr>
        <w:t xml:space="preserve"> arterial switch procedure in </w:t>
      </w:r>
      <w:r>
        <w:rPr>
          <w:rFonts w:cstheme="minorHAnsi"/>
        </w:rPr>
        <w:t xml:space="preserve">patients with </w:t>
      </w:r>
      <w:r w:rsidRPr="00F0585E">
        <w:rPr>
          <w:rFonts w:cstheme="minorHAnsi"/>
        </w:rPr>
        <w:t>TGA.</w:t>
      </w:r>
    </w:p>
    <w:p w14:paraId="018C8C8C" w14:textId="2E7EADB5" w:rsidR="00526C6E" w:rsidRDefault="00526C6E" w:rsidP="00526C6E">
      <w:pPr>
        <w:rPr>
          <w:rFonts w:cstheme="minorHAnsi"/>
        </w:rPr>
      </w:pPr>
    </w:p>
    <w:p w14:paraId="4CDAD344" w14:textId="0F9F11B7" w:rsidR="00154548" w:rsidRPr="00CF02F8" w:rsidRDefault="00154548" w:rsidP="00526C6E">
      <w:pPr>
        <w:rPr>
          <w:rFonts w:cstheme="minorHAnsi"/>
        </w:rPr>
      </w:pPr>
      <w:bookmarkStart w:id="0" w:name="_GoBack"/>
      <w:r>
        <w:rPr>
          <w:noProof/>
        </w:rPr>
        <w:drawing>
          <wp:inline distT="0" distB="0" distL="0" distR="0" wp14:anchorId="1BF0EA66" wp14:editId="606046DF">
            <wp:extent cx="2800350" cy="373236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2402" cy="3735097"/>
                    </a:xfrm>
                    <a:prstGeom prst="rect">
                      <a:avLst/>
                    </a:prstGeom>
                    <a:noFill/>
                    <a:ln>
                      <a:noFill/>
                    </a:ln>
                  </pic:spPr>
                </pic:pic>
              </a:graphicData>
            </a:graphic>
          </wp:inline>
        </w:drawing>
      </w:r>
      <w:bookmarkEnd w:id="0"/>
    </w:p>
    <w:p w14:paraId="07F895CE" w14:textId="77777777" w:rsidR="00526C6E" w:rsidRPr="005F54C2" w:rsidRDefault="00526C6E" w:rsidP="00526C6E">
      <w:pPr>
        <w:rPr>
          <w:rFonts w:cstheme="minorHAnsi"/>
        </w:rPr>
      </w:pPr>
      <w:r w:rsidRPr="005F54C2">
        <w:rPr>
          <w:rFonts w:cstheme="minorHAnsi"/>
          <w:b/>
          <w:i/>
        </w:rPr>
        <w:t>Commentary from Dr. Shaji Menon (Salt Lake City), section editor of Pediatric Cardiology Journal Watch:</w:t>
      </w:r>
      <w:r w:rsidRPr="005F54C2">
        <w:rPr>
          <w:rFonts w:cstheme="minorHAnsi"/>
        </w:rPr>
        <w:t xml:space="preserve"> This is a retrospective multicenter observational study of 137 fetuses with TGA; 36% with ventricular septal defects.  Arterial switch operation was performed in 121 subjects.  Fetal semilunar valve diameters were significantly larger than control aortic valve diameter</w:t>
      </w:r>
      <w:r>
        <w:rPr>
          <w:rFonts w:cstheme="minorHAnsi"/>
        </w:rPr>
        <w:t>s</w:t>
      </w:r>
      <w:r w:rsidRPr="005F54C2">
        <w:rPr>
          <w:rFonts w:cstheme="minorHAnsi"/>
        </w:rPr>
        <w:t>, especially in patients with VSD.  There was positive correlation between Z‐scores of fetal TGA pulmonary valve at 26 to 30 weeks and neoaortic valve diameter at last follow‐up (P &lt; .001).</w:t>
      </w:r>
    </w:p>
    <w:p w14:paraId="6697A320" w14:textId="77777777" w:rsidR="00526C6E" w:rsidRPr="005F54C2" w:rsidRDefault="00526C6E" w:rsidP="00526C6E">
      <w:pPr>
        <w:rPr>
          <w:rFonts w:cstheme="minorHAnsi"/>
        </w:rPr>
      </w:pPr>
    </w:p>
    <w:p w14:paraId="6259FD2B" w14:textId="77777777" w:rsidR="00526C6E" w:rsidRPr="005F54C2" w:rsidRDefault="00526C6E" w:rsidP="00526C6E">
      <w:pPr>
        <w:rPr>
          <w:rFonts w:cstheme="minorHAnsi"/>
          <w:b/>
          <w:u w:val="single"/>
        </w:rPr>
      </w:pPr>
      <w:r w:rsidRPr="005F54C2">
        <w:rPr>
          <w:rFonts w:cstheme="minorHAnsi"/>
          <w:b/>
          <w:noProof/>
          <w:u w:val="single"/>
        </w:rPr>
        <w:drawing>
          <wp:inline distT="0" distB="0" distL="0" distR="0" wp14:anchorId="67631C26" wp14:editId="603BC1D5">
            <wp:extent cx="5943600" cy="57960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796049"/>
                    </a:xfrm>
                    <a:prstGeom prst="rect">
                      <a:avLst/>
                    </a:prstGeom>
                    <a:noFill/>
                    <a:ln>
                      <a:noFill/>
                    </a:ln>
                  </pic:spPr>
                </pic:pic>
              </a:graphicData>
            </a:graphic>
          </wp:inline>
        </w:drawing>
      </w:r>
    </w:p>
    <w:p w14:paraId="31524A6A" w14:textId="77777777" w:rsidR="00526C6E" w:rsidRPr="005F54C2" w:rsidRDefault="00526C6E" w:rsidP="00526C6E">
      <w:pPr>
        <w:rPr>
          <w:rFonts w:cstheme="minorHAnsi"/>
          <w:b/>
          <w:u w:val="single"/>
        </w:rPr>
      </w:pPr>
    </w:p>
    <w:p w14:paraId="3CFD9EA6" w14:textId="77777777" w:rsidR="00526C6E" w:rsidRPr="005F54C2" w:rsidRDefault="00526C6E" w:rsidP="00526C6E">
      <w:pPr>
        <w:rPr>
          <w:rFonts w:cstheme="minorHAnsi"/>
          <w:b/>
          <w:u w:val="single"/>
        </w:rPr>
      </w:pPr>
      <w:r w:rsidRPr="005F54C2">
        <w:rPr>
          <w:rFonts w:cstheme="minorHAnsi"/>
          <w:b/>
          <w:noProof/>
          <w:u w:val="single"/>
        </w:rPr>
        <w:lastRenderedPageBreak/>
        <w:drawing>
          <wp:inline distT="0" distB="0" distL="0" distR="0" wp14:anchorId="6F87F506" wp14:editId="4DCFCF8E">
            <wp:extent cx="5943600" cy="467901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679016"/>
                    </a:xfrm>
                    <a:prstGeom prst="rect">
                      <a:avLst/>
                    </a:prstGeom>
                    <a:noFill/>
                    <a:ln>
                      <a:noFill/>
                    </a:ln>
                  </pic:spPr>
                </pic:pic>
              </a:graphicData>
            </a:graphic>
          </wp:inline>
        </w:drawing>
      </w:r>
    </w:p>
    <w:p w14:paraId="05C679A1" w14:textId="52F9BDCC" w:rsidR="001B2259" w:rsidRPr="00526C6E" w:rsidRDefault="00526C6E">
      <w:pPr>
        <w:rPr>
          <w:rFonts w:cstheme="minorHAnsi"/>
          <w:b/>
          <w:u w:val="single"/>
        </w:rPr>
      </w:pPr>
      <w:r w:rsidRPr="005F54C2">
        <w:rPr>
          <w:rFonts w:cstheme="minorHAnsi"/>
          <w:b/>
          <w:noProof/>
          <w:u w:val="single"/>
        </w:rPr>
        <w:lastRenderedPageBreak/>
        <w:drawing>
          <wp:inline distT="0" distB="0" distL="0" distR="0" wp14:anchorId="385A557A" wp14:editId="7C8DE975">
            <wp:extent cx="5943600" cy="468430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684303"/>
                    </a:xfrm>
                    <a:prstGeom prst="rect">
                      <a:avLst/>
                    </a:prstGeom>
                    <a:noFill/>
                    <a:ln>
                      <a:noFill/>
                    </a:ln>
                  </pic:spPr>
                </pic:pic>
              </a:graphicData>
            </a:graphic>
          </wp:inline>
        </w:drawing>
      </w:r>
    </w:p>
    <w:sectPr w:rsidR="001B2259" w:rsidRPr="00526C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3D63F3"/>
    <w:multiLevelType w:val="hybridMultilevel"/>
    <w:tmpl w:val="40A6860A"/>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C6E"/>
    <w:rsid w:val="00154548"/>
    <w:rsid w:val="001B2259"/>
    <w:rsid w:val="00526C6E"/>
    <w:rsid w:val="005C2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A53E8"/>
  <w15:chartTrackingRefBased/>
  <w15:docId w15:val="{E2AE336D-EC1F-472E-BDCC-4BCB2F44B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C6E"/>
  </w:style>
  <w:style w:type="paragraph" w:styleId="Heading1">
    <w:name w:val="heading 1"/>
    <w:basedOn w:val="Normal"/>
    <w:next w:val="Normal"/>
    <w:link w:val="Heading1Char"/>
    <w:uiPriority w:val="9"/>
    <w:qFormat/>
    <w:rsid w:val="00526C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C6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26C6E"/>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526C6E"/>
    <w:rPr>
      <w:color w:val="0000FF"/>
      <w:u w:val="single"/>
    </w:rPr>
  </w:style>
  <w:style w:type="character" w:customStyle="1" w:styleId="jrnl">
    <w:name w:val="jrnl"/>
    <w:basedOn w:val="DefaultParagraphFont"/>
    <w:rsid w:val="00526C6E"/>
  </w:style>
  <w:style w:type="paragraph" w:customStyle="1" w:styleId="Title1">
    <w:name w:val="Title1"/>
    <w:basedOn w:val="Normal"/>
    <w:rsid w:val="00526C6E"/>
    <w:pPr>
      <w:spacing w:after="0" w:line="240" w:lineRule="auto"/>
    </w:pPr>
    <w:rPr>
      <w:rFonts w:ascii="Calibri" w:hAnsi="Calibri" w:cs="Calibri"/>
    </w:rPr>
  </w:style>
  <w:style w:type="paragraph" w:customStyle="1" w:styleId="details">
    <w:name w:val="details"/>
    <w:basedOn w:val="Normal"/>
    <w:rsid w:val="00526C6E"/>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ncbi.nlm.nih.gov/pubmed/31351016"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220</Words>
  <Characters>1254</Characters>
  <Application>Microsoft Office Word</Application>
  <DocSecurity>0</DocSecurity>
  <Lines>10</Lines>
  <Paragraphs>2</Paragraphs>
  <ScaleCrop>false</ScaleCrop>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2020-03-16T16:36:00Z</dcterms:created>
  <dcterms:modified xsi:type="dcterms:W3CDTF">2020-03-16T16:37:00Z</dcterms:modified>
</cp:coreProperties>
</file>