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7542F" w14:textId="77777777" w:rsidR="009A0FC6" w:rsidRPr="005C7400" w:rsidRDefault="009A0FC6" w:rsidP="009A0FC6">
      <w:pPr>
        <w:pStyle w:val="Heading1"/>
      </w:pPr>
      <w:r>
        <w:fldChar w:fldCharType="begin"/>
      </w:r>
      <w:r>
        <w:instrText xml:space="preserve"> HYPERLINK "https://www.ncbi.nlm.nih.gov/pubmed/31145542" </w:instrText>
      </w:r>
      <w:r>
        <w:fldChar w:fldCharType="separate"/>
      </w:r>
      <w:r w:rsidRPr="005C7400">
        <w:rPr>
          <w:rStyle w:val="Hyperlink"/>
          <w:highlight w:val="yellow"/>
        </w:rPr>
        <w:t>Elevated ventricular filling pressures and long-term survival in adults post-Fontan.</w:t>
      </w:r>
      <w:r>
        <w:rPr>
          <w:rStyle w:val="Hyperlink"/>
          <w:color w:val="2F5496" w:themeColor="accent1" w:themeShade="BF"/>
          <w:highlight w:val="yellow"/>
          <w:u w:val="none"/>
        </w:rPr>
        <w:fldChar w:fldCharType="end"/>
      </w:r>
    </w:p>
    <w:p w14:paraId="630579B2" w14:textId="77777777" w:rsidR="009A0FC6" w:rsidRPr="00EC291D" w:rsidRDefault="009A0FC6" w:rsidP="009A0FC6">
      <w:pPr>
        <w:pStyle w:val="desc"/>
        <w:shd w:val="clear" w:color="auto" w:fill="FFFFFF"/>
        <w:spacing w:before="0" w:beforeAutospacing="0" w:after="0" w:afterAutospacing="0"/>
        <w:rPr>
          <w:rFonts w:asciiTheme="minorHAnsi" w:hAnsiTheme="minorHAnsi" w:cstheme="minorHAnsi"/>
          <w:color w:val="000000"/>
          <w:sz w:val="22"/>
          <w:szCs w:val="22"/>
        </w:rPr>
      </w:pPr>
      <w:r w:rsidRPr="00EC291D">
        <w:rPr>
          <w:rFonts w:asciiTheme="minorHAnsi" w:hAnsiTheme="minorHAnsi" w:cstheme="minorHAnsi"/>
          <w:color w:val="000000"/>
          <w:sz w:val="22"/>
          <w:szCs w:val="22"/>
        </w:rPr>
        <w:t>Miranda WR, </w:t>
      </w:r>
      <w:proofErr w:type="spellStart"/>
      <w:r w:rsidRPr="00EC291D">
        <w:rPr>
          <w:rFonts w:asciiTheme="minorHAnsi" w:hAnsiTheme="minorHAnsi" w:cstheme="minorHAnsi"/>
          <w:color w:val="000000"/>
          <w:sz w:val="22"/>
          <w:szCs w:val="22"/>
        </w:rPr>
        <w:t>Hagler</w:t>
      </w:r>
      <w:proofErr w:type="spellEnd"/>
      <w:r w:rsidRPr="00EC291D">
        <w:rPr>
          <w:rFonts w:asciiTheme="minorHAnsi" w:hAnsiTheme="minorHAnsi" w:cstheme="minorHAnsi"/>
          <w:color w:val="000000"/>
          <w:sz w:val="22"/>
          <w:szCs w:val="22"/>
        </w:rPr>
        <w:t> DJ, Taggart NW, Borlaug BA, Connolly HM, Egbe AC.</w:t>
      </w:r>
    </w:p>
    <w:p w14:paraId="641A8DB5" w14:textId="77777777" w:rsidR="009A0FC6" w:rsidRPr="00EC291D" w:rsidRDefault="009A0FC6" w:rsidP="009A0FC6">
      <w:pPr>
        <w:pStyle w:val="details"/>
        <w:shd w:val="clear" w:color="auto" w:fill="FFFFFF"/>
        <w:spacing w:before="0" w:beforeAutospacing="0" w:after="0" w:afterAutospacing="0"/>
        <w:rPr>
          <w:rFonts w:asciiTheme="minorHAnsi" w:hAnsiTheme="minorHAnsi" w:cstheme="minorHAnsi"/>
          <w:color w:val="000000"/>
          <w:sz w:val="22"/>
          <w:szCs w:val="22"/>
        </w:rPr>
      </w:pPr>
      <w:r w:rsidRPr="00EC291D">
        <w:rPr>
          <w:rStyle w:val="jrnl"/>
          <w:rFonts w:asciiTheme="minorHAnsi" w:hAnsiTheme="minorHAnsi" w:cstheme="minorHAnsi"/>
          <w:color w:val="000000"/>
          <w:sz w:val="22"/>
          <w:szCs w:val="22"/>
        </w:rPr>
        <w:t xml:space="preserve">Catheter Cardiovasc </w:t>
      </w:r>
      <w:proofErr w:type="spellStart"/>
      <w:r w:rsidRPr="00EC291D">
        <w:rPr>
          <w:rStyle w:val="jrnl"/>
          <w:rFonts w:asciiTheme="minorHAnsi" w:hAnsiTheme="minorHAnsi" w:cstheme="minorHAnsi"/>
          <w:color w:val="000000"/>
          <w:sz w:val="22"/>
          <w:szCs w:val="22"/>
        </w:rPr>
        <w:t>Interv</w:t>
      </w:r>
      <w:proofErr w:type="spellEnd"/>
      <w:r w:rsidRPr="00EC291D">
        <w:rPr>
          <w:rFonts w:asciiTheme="minorHAnsi" w:hAnsiTheme="minorHAnsi" w:cstheme="minorHAnsi"/>
          <w:color w:val="000000"/>
          <w:sz w:val="22"/>
          <w:szCs w:val="22"/>
        </w:rPr>
        <w:t>. 2019 May 30. doi: 10.1002/ccd.28340. [Epub ahead of print]</w:t>
      </w:r>
    </w:p>
    <w:p w14:paraId="69BB561B" w14:textId="77777777" w:rsidR="009A0FC6" w:rsidRPr="00EC291D" w:rsidRDefault="009A0FC6" w:rsidP="009A0FC6">
      <w:pPr>
        <w:shd w:val="clear" w:color="auto" w:fill="FFFFFF"/>
        <w:spacing w:after="0" w:line="336" w:lineRule="atLeast"/>
        <w:ind w:right="225"/>
        <w:rPr>
          <w:rFonts w:cstheme="minorHAnsi"/>
          <w:color w:val="575757"/>
        </w:rPr>
      </w:pPr>
      <w:r w:rsidRPr="00EC291D">
        <w:rPr>
          <w:rFonts w:cstheme="minorHAnsi"/>
          <w:color w:val="575757"/>
        </w:rPr>
        <w:t>PMID:  31145542</w:t>
      </w:r>
    </w:p>
    <w:p w14:paraId="52E34597" w14:textId="77777777" w:rsidR="009A0FC6" w:rsidRPr="00EC291D" w:rsidRDefault="004A77B2" w:rsidP="009A0FC6">
      <w:pPr>
        <w:pStyle w:val="links"/>
        <w:shd w:val="clear" w:color="auto" w:fill="FFFFFF"/>
        <w:spacing w:before="0" w:beforeAutospacing="0" w:after="0" w:afterAutospacing="0" w:line="336" w:lineRule="atLeast"/>
        <w:rPr>
          <w:rFonts w:asciiTheme="minorHAnsi" w:hAnsiTheme="minorHAnsi" w:cstheme="minorHAnsi"/>
          <w:color w:val="000000"/>
          <w:sz w:val="22"/>
          <w:szCs w:val="22"/>
        </w:rPr>
      </w:pPr>
      <w:hyperlink r:id="rId5" w:history="1">
        <w:r w:rsidR="009A0FC6" w:rsidRPr="00EC291D">
          <w:rPr>
            <w:rStyle w:val="Hyperlink"/>
            <w:rFonts w:asciiTheme="minorHAnsi" w:hAnsiTheme="minorHAnsi" w:cstheme="minorHAnsi"/>
            <w:color w:val="6666AA"/>
            <w:sz w:val="22"/>
            <w:szCs w:val="22"/>
          </w:rPr>
          <w:t>Similar articles</w:t>
        </w:r>
      </w:hyperlink>
    </w:p>
    <w:p w14:paraId="73F18E64" w14:textId="77777777" w:rsidR="009A0FC6" w:rsidRPr="00EC291D" w:rsidRDefault="009A0FC6" w:rsidP="009A0FC6">
      <w:pPr>
        <w:pStyle w:val="NoSpacing"/>
        <w:rPr>
          <w:rFonts w:asciiTheme="minorHAnsi" w:hAnsiTheme="minorHAnsi" w:cstheme="minorHAnsi"/>
          <w:i/>
          <w:sz w:val="22"/>
        </w:rPr>
      </w:pPr>
    </w:p>
    <w:p w14:paraId="14F078AF" w14:textId="77777777" w:rsidR="009A0FC6" w:rsidRPr="00EC291D" w:rsidRDefault="009A0FC6" w:rsidP="009A0FC6">
      <w:pPr>
        <w:pStyle w:val="NoSpacing"/>
        <w:rPr>
          <w:rFonts w:asciiTheme="minorHAnsi" w:hAnsiTheme="minorHAnsi" w:cstheme="minorHAnsi"/>
          <w:sz w:val="22"/>
        </w:rPr>
      </w:pPr>
    </w:p>
    <w:p w14:paraId="685289D8" w14:textId="77777777" w:rsidR="009A0FC6" w:rsidRPr="00EC291D" w:rsidRDefault="009A0FC6" w:rsidP="009A0FC6">
      <w:pPr>
        <w:pStyle w:val="NoSpacing"/>
        <w:rPr>
          <w:rFonts w:asciiTheme="minorHAnsi" w:hAnsiTheme="minorHAnsi" w:cstheme="minorHAnsi"/>
          <w:b/>
          <w:sz w:val="22"/>
        </w:rPr>
      </w:pPr>
      <w:r w:rsidRPr="00EC291D">
        <w:rPr>
          <w:rFonts w:asciiTheme="minorHAnsi" w:hAnsiTheme="minorHAnsi" w:cstheme="minorHAnsi"/>
          <w:b/>
          <w:sz w:val="22"/>
        </w:rPr>
        <w:t>Take Home Point:</w:t>
      </w:r>
    </w:p>
    <w:p w14:paraId="417F0D1E" w14:textId="77777777" w:rsidR="009A0FC6" w:rsidRPr="00EC291D" w:rsidRDefault="009A0FC6" w:rsidP="009A0FC6">
      <w:pPr>
        <w:pStyle w:val="NoSpacing"/>
        <w:rPr>
          <w:rFonts w:asciiTheme="minorHAnsi" w:hAnsiTheme="minorHAnsi" w:cstheme="minorHAnsi"/>
          <w:b/>
          <w:sz w:val="22"/>
        </w:rPr>
      </w:pPr>
    </w:p>
    <w:p w14:paraId="42271615" w14:textId="77777777" w:rsidR="009A0FC6" w:rsidRPr="00EC291D" w:rsidRDefault="009A0FC6" w:rsidP="009A0FC6">
      <w:pPr>
        <w:pStyle w:val="NoSpacing"/>
        <w:numPr>
          <w:ilvl w:val="0"/>
          <w:numId w:val="1"/>
        </w:numPr>
        <w:rPr>
          <w:rFonts w:asciiTheme="minorHAnsi" w:hAnsiTheme="minorHAnsi" w:cstheme="minorHAnsi"/>
          <w:sz w:val="22"/>
        </w:rPr>
      </w:pPr>
      <w:r w:rsidRPr="00EC291D">
        <w:rPr>
          <w:rFonts w:asciiTheme="minorHAnsi" w:hAnsiTheme="minorHAnsi" w:cstheme="minorHAnsi"/>
          <w:sz w:val="22"/>
        </w:rPr>
        <w:t>Though elevated VEDP portends a poor long-term prognosis, PAWP was better in predicting mortality amongst the many other factors we assess in Fontan patients.  However, if it is normal, we cannot necessarily be reassured.</w:t>
      </w:r>
    </w:p>
    <w:p w14:paraId="708709D4" w14:textId="77777777" w:rsidR="009A0FC6" w:rsidRPr="00EC291D" w:rsidRDefault="009A0FC6" w:rsidP="009A0FC6">
      <w:pPr>
        <w:pStyle w:val="NoSpacing"/>
        <w:rPr>
          <w:rFonts w:asciiTheme="minorHAnsi" w:hAnsiTheme="minorHAnsi" w:cstheme="minorHAnsi"/>
          <w:b/>
          <w:sz w:val="22"/>
        </w:rPr>
      </w:pPr>
    </w:p>
    <w:p w14:paraId="079100EE" w14:textId="77777777" w:rsidR="009A0FC6" w:rsidRPr="00EC291D" w:rsidRDefault="009A0FC6" w:rsidP="009A0FC6">
      <w:pPr>
        <w:pStyle w:val="NoSpacing"/>
        <w:rPr>
          <w:rFonts w:asciiTheme="minorHAnsi" w:hAnsiTheme="minorHAnsi" w:cstheme="minorHAnsi"/>
          <w:sz w:val="22"/>
        </w:rPr>
      </w:pPr>
      <w:r>
        <w:rPr>
          <w:noProof/>
        </w:rPr>
        <w:drawing>
          <wp:inline distT="0" distB="0" distL="0" distR="0" wp14:anchorId="30A66EF9" wp14:editId="7BFC0159">
            <wp:extent cx="2712354" cy="2602596"/>
            <wp:effectExtent l="0" t="2222"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6" cstate="print">
                      <a:extLst>
                        <a:ext uri="{28A0092B-C50C-407E-A947-70E740481C1C}">
                          <a14:useLocalDpi xmlns:a14="http://schemas.microsoft.com/office/drawing/2010/main" val="0"/>
                        </a:ext>
                      </a:extLst>
                    </a:blip>
                    <a:srcRect l="-130" t="-1703" r="24806" b="6903"/>
                    <a:stretch/>
                  </pic:blipFill>
                  <pic:spPr bwMode="auto">
                    <a:xfrm rot="16200000">
                      <a:off x="0" y="0"/>
                      <a:ext cx="2731411" cy="2620882"/>
                    </a:xfrm>
                    <a:prstGeom prst="rect">
                      <a:avLst/>
                    </a:prstGeom>
                    <a:noFill/>
                    <a:ln>
                      <a:noFill/>
                    </a:ln>
                    <a:extLst>
                      <a:ext uri="{53640926-AAD7-44D8-BBD7-CCE9431645EC}">
                        <a14:shadowObscured xmlns:a14="http://schemas.microsoft.com/office/drawing/2010/main"/>
                      </a:ext>
                    </a:extLst>
                  </pic:spPr>
                </pic:pic>
              </a:graphicData>
            </a:graphic>
          </wp:inline>
        </w:drawing>
      </w:r>
    </w:p>
    <w:p w14:paraId="6FC6573E" w14:textId="77777777" w:rsidR="004A77B2" w:rsidRDefault="004A77B2" w:rsidP="009A0FC6">
      <w:pPr>
        <w:pStyle w:val="NoSpacing"/>
        <w:rPr>
          <w:rFonts w:asciiTheme="minorHAnsi" w:hAnsiTheme="minorHAnsi" w:cstheme="minorHAnsi"/>
          <w:b/>
          <w:i/>
          <w:sz w:val="22"/>
        </w:rPr>
      </w:pPr>
    </w:p>
    <w:p w14:paraId="60DD6820" w14:textId="20517370" w:rsidR="009A0FC6" w:rsidRPr="00EC291D" w:rsidRDefault="009A0FC6" w:rsidP="009A0FC6">
      <w:pPr>
        <w:pStyle w:val="NoSpacing"/>
        <w:rPr>
          <w:rFonts w:asciiTheme="minorHAnsi" w:hAnsiTheme="minorHAnsi" w:cstheme="minorHAnsi"/>
          <w:sz w:val="22"/>
        </w:rPr>
      </w:pPr>
      <w:bookmarkStart w:id="0" w:name="_GoBack"/>
      <w:bookmarkEnd w:id="0"/>
      <w:r w:rsidRPr="00EC291D">
        <w:rPr>
          <w:rFonts w:asciiTheme="minorHAnsi" w:hAnsiTheme="minorHAnsi" w:cstheme="minorHAnsi"/>
          <w:b/>
          <w:i/>
          <w:sz w:val="22"/>
        </w:rPr>
        <w:t xml:space="preserve">Commentary by </w:t>
      </w:r>
      <w:proofErr w:type="spellStart"/>
      <w:r w:rsidRPr="00EC291D">
        <w:rPr>
          <w:rFonts w:asciiTheme="minorHAnsi" w:hAnsiTheme="minorHAnsi" w:cstheme="minorHAnsi"/>
          <w:b/>
          <w:i/>
          <w:sz w:val="22"/>
        </w:rPr>
        <w:t>Dr.</w:t>
      </w:r>
      <w:proofErr w:type="spellEnd"/>
      <w:r w:rsidRPr="00EC291D">
        <w:rPr>
          <w:rFonts w:asciiTheme="minorHAnsi" w:hAnsiTheme="minorHAnsi" w:cstheme="minorHAnsi"/>
          <w:b/>
          <w:i/>
          <w:sz w:val="22"/>
        </w:rPr>
        <w:t xml:space="preserve"> Helen Parry (Leeds, United Kingdom), section editor </w:t>
      </w:r>
      <w:r w:rsidRPr="00EC291D">
        <w:rPr>
          <w:rStyle w:val="Strong"/>
          <w:rFonts w:asciiTheme="minorHAnsi" w:hAnsiTheme="minorHAnsi" w:cstheme="minorHAnsi"/>
          <w:i/>
          <w:iCs/>
          <w:sz w:val="22"/>
        </w:rPr>
        <w:t>of ACHD Journal Watch</w:t>
      </w:r>
      <w:r w:rsidRPr="00EC291D">
        <w:rPr>
          <w:rFonts w:asciiTheme="minorHAnsi" w:hAnsiTheme="minorHAnsi" w:cstheme="minorHAnsi"/>
          <w:b/>
          <w:i/>
          <w:sz w:val="22"/>
        </w:rPr>
        <w:t xml:space="preserve">:  </w:t>
      </w:r>
      <w:r w:rsidRPr="00EC291D">
        <w:rPr>
          <w:rFonts w:asciiTheme="minorHAnsi" w:hAnsiTheme="minorHAnsi" w:cstheme="minorHAnsi"/>
          <w:sz w:val="22"/>
        </w:rPr>
        <w:t>Diastolic dysfunction is part of the natural history of patients with Fontan palliations – ventricular end diastolic pressures (VEDP) and pulmonary capillary wedge pressure (PCW) serve as surrogates for left atrial pressures (LAP). Data pertaining to the haemodynamic predictors of survival in this cohort are limited.</w:t>
      </w:r>
    </w:p>
    <w:p w14:paraId="28F08046" w14:textId="77777777" w:rsidR="009A0FC6" w:rsidRPr="00EC291D" w:rsidRDefault="009A0FC6" w:rsidP="009A0FC6">
      <w:pPr>
        <w:pStyle w:val="NoSpacing"/>
        <w:rPr>
          <w:rFonts w:asciiTheme="minorHAnsi" w:hAnsiTheme="minorHAnsi" w:cstheme="minorHAnsi"/>
          <w:sz w:val="22"/>
        </w:rPr>
      </w:pPr>
    </w:p>
    <w:p w14:paraId="2D75BF71" w14:textId="77777777" w:rsidR="009A0FC6" w:rsidRPr="00EC291D" w:rsidRDefault="009A0FC6" w:rsidP="009A0FC6">
      <w:pPr>
        <w:pStyle w:val="NoSpacing"/>
        <w:rPr>
          <w:rFonts w:asciiTheme="minorHAnsi" w:hAnsiTheme="minorHAnsi" w:cstheme="minorHAnsi"/>
          <w:sz w:val="22"/>
        </w:rPr>
      </w:pPr>
      <w:r w:rsidRPr="00EC291D">
        <w:rPr>
          <w:rFonts w:asciiTheme="minorHAnsi" w:hAnsiTheme="minorHAnsi" w:cstheme="minorHAnsi"/>
          <w:sz w:val="22"/>
        </w:rPr>
        <w:t xml:space="preserve">This study from the Mayo clinic, enrolled 148 adult patients with Fontan circulation who underwent cardiac catheterisation within an 18-year period (December 1999 to November 2017). Patients with atrioventricular prostheses were excluded. Findings with respect to ventricular end diastolic pressure and pulmonary artery wedge pressure were correlated with mortality. </w:t>
      </w:r>
    </w:p>
    <w:p w14:paraId="193E2CDE" w14:textId="77777777" w:rsidR="009A0FC6" w:rsidRPr="00EC291D" w:rsidRDefault="009A0FC6" w:rsidP="009A0FC6">
      <w:pPr>
        <w:pStyle w:val="NoSpacing"/>
        <w:rPr>
          <w:rFonts w:asciiTheme="minorHAnsi" w:hAnsiTheme="minorHAnsi" w:cstheme="minorHAnsi"/>
          <w:sz w:val="22"/>
        </w:rPr>
      </w:pPr>
    </w:p>
    <w:p w14:paraId="014BF9D3" w14:textId="77777777" w:rsidR="009A0FC6" w:rsidRPr="00EC291D" w:rsidRDefault="009A0FC6" w:rsidP="009A0FC6">
      <w:pPr>
        <w:pStyle w:val="NoSpacing"/>
        <w:rPr>
          <w:rFonts w:asciiTheme="minorHAnsi" w:hAnsiTheme="minorHAnsi" w:cstheme="minorHAnsi"/>
          <w:sz w:val="22"/>
        </w:rPr>
      </w:pPr>
      <w:r w:rsidRPr="00EC291D">
        <w:rPr>
          <w:rFonts w:asciiTheme="minorHAnsi" w:hAnsiTheme="minorHAnsi" w:cstheme="minorHAnsi"/>
          <w:sz w:val="22"/>
        </w:rPr>
        <w:t xml:space="preserve">Mean age at the time of Fontan was 10.1±8.1 years. The mean ventricular ejection fraction was 51.1% and the atrioventricular regurgitation was more than moderate in 24 patients (16.2%). Mean VEDP was 11.5 ±4.7mmHg and PAWP 10.6 ± 4.5 mmHg. </w:t>
      </w:r>
    </w:p>
    <w:p w14:paraId="5ABBB777" w14:textId="77777777" w:rsidR="009A0FC6" w:rsidRPr="00EC291D" w:rsidRDefault="009A0FC6" w:rsidP="009A0FC6">
      <w:pPr>
        <w:pStyle w:val="NoSpacing"/>
        <w:rPr>
          <w:rFonts w:asciiTheme="minorHAnsi" w:hAnsiTheme="minorHAnsi" w:cstheme="minorHAnsi"/>
          <w:sz w:val="22"/>
        </w:rPr>
      </w:pPr>
    </w:p>
    <w:p w14:paraId="6E7A49B0" w14:textId="77777777" w:rsidR="009A0FC6" w:rsidRPr="00EC291D" w:rsidRDefault="009A0FC6" w:rsidP="009A0FC6">
      <w:pPr>
        <w:pStyle w:val="NoSpacing"/>
        <w:rPr>
          <w:rFonts w:asciiTheme="minorHAnsi" w:hAnsiTheme="minorHAnsi" w:cstheme="minorHAnsi"/>
          <w:sz w:val="22"/>
        </w:rPr>
      </w:pPr>
      <w:r w:rsidRPr="00EC291D">
        <w:rPr>
          <w:rFonts w:asciiTheme="minorHAnsi" w:hAnsiTheme="minorHAnsi" w:cstheme="minorHAnsi"/>
          <w:sz w:val="22"/>
        </w:rPr>
        <w:t xml:space="preserve">PAWP correlated better with Fontan pressures compared to VEDP (correlation coefficient 0.82 vs 0.63, p&lt;0.0001). </w:t>
      </w:r>
    </w:p>
    <w:p w14:paraId="6469DB19" w14:textId="77777777" w:rsidR="009A0FC6" w:rsidRPr="00EC291D" w:rsidRDefault="009A0FC6" w:rsidP="009A0FC6">
      <w:pPr>
        <w:pStyle w:val="NoSpacing"/>
        <w:rPr>
          <w:rFonts w:asciiTheme="minorHAnsi" w:hAnsiTheme="minorHAnsi" w:cstheme="minorHAnsi"/>
          <w:sz w:val="22"/>
        </w:rPr>
      </w:pPr>
    </w:p>
    <w:p w14:paraId="4C073927" w14:textId="77777777" w:rsidR="009A0FC6" w:rsidRPr="00EC291D" w:rsidRDefault="009A0FC6" w:rsidP="009A0FC6">
      <w:pPr>
        <w:pStyle w:val="NoSpacing"/>
        <w:rPr>
          <w:rFonts w:asciiTheme="minorHAnsi" w:hAnsiTheme="minorHAnsi" w:cstheme="minorHAnsi"/>
          <w:sz w:val="22"/>
          <w:lang w:val="en-US"/>
        </w:rPr>
      </w:pPr>
      <w:r w:rsidRPr="00EC291D">
        <w:rPr>
          <w:rFonts w:asciiTheme="minorHAnsi" w:hAnsiTheme="minorHAnsi" w:cstheme="minorHAnsi"/>
          <w:sz w:val="22"/>
        </w:rPr>
        <w:t xml:space="preserve"> </w:t>
      </w:r>
      <w:r w:rsidRPr="00EC291D">
        <w:rPr>
          <w:rFonts w:asciiTheme="minorHAnsi" w:hAnsiTheme="minorHAnsi" w:cstheme="minorHAnsi"/>
          <w:noProof/>
          <w:sz w:val="22"/>
        </w:rPr>
        <w:drawing>
          <wp:inline distT="0" distB="0" distL="0" distR="0" wp14:anchorId="0DCCAAB2" wp14:editId="7FBD2FC6">
            <wp:extent cx="5731510" cy="1629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629410"/>
                    </a:xfrm>
                    <a:prstGeom prst="rect">
                      <a:avLst/>
                    </a:prstGeom>
                  </pic:spPr>
                </pic:pic>
              </a:graphicData>
            </a:graphic>
          </wp:inline>
        </w:drawing>
      </w:r>
      <w:r w:rsidRPr="00EC291D">
        <w:rPr>
          <w:rFonts w:asciiTheme="minorHAnsi" w:hAnsiTheme="minorHAnsi" w:cstheme="minorHAnsi"/>
          <w:sz w:val="22"/>
        </w:rPr>
        <w:t xml:space="preserve"> </w:t>
      </w:r>
    </w:p>
    <w:p w14:paraId="4C287CA9" w14:textId="77777777" w:rsidR="009A0FC6" w:rsidRPr="00EC291D" w:rsidRDefault="009A0FC6" w:rsidP="009A0FC6">
      <w:pPr>
        <w:pStyle w:val="NoSpacing"/>
        <w:rPr>
          <w:rFonts w:asciiTheme="minorHAnsi" w:hAnsiTheme="minorHAnsi" w:cstheme="minorHAnsi"/>
          <w:sz w:val="22"/>
        </w:rPr>
      </w:pPr>
    </w:p>
    <w:p w14:paraId="48434406" w14:textId="77777777" w:rsidR="009A0FC6" w:rsidRPr="00EC291D" w:rsidRDefault="009A0FC6" w:rsidP="009A0FC6">
      <w:pPr>
        <w:pStyle w:val="NoSpacing"/>
        <w:rPr>
          <w:rFonts w:asciiTheme="minorHAnsi" w:hAnsiTheme="minorHAnsi" w:cstheme="minorHAnsi"/>
          <w:sz w:val="22"/>
        </w:rPr>
      </w:pPr>
      <w:r w:rsidRPr="00EC291D">
        <w:rPr>
          <w:rFonts w:asciiTheme="minorHAnsi" w:hAnsiTheme="minorHAnsi" w:cstheme="minorHAnsi"/>
          <w:sz w:val="22"/>
        </w:rPr>
        <w:t xml:space="preserve">Patients were followed up for a mean of 6.0±4.8 years. A total of 45 deaths occurred during this period (30.4%). Survival was greater in those with a VEDP &lt;12 compared to a VEDP &gt;12 mmHg (p=0.02). </w:t>
      </w:r>
      <w:proofErr w:type="gramStart"/>
      <w:r w:rsidRPr="00EC291D">
        <w:rPr>
          <w:rFonts w:asciiTheme="minorHAnsi" w:hAnsiTheme="minorHAnsi" w:cstheme="minorHAnsi"/>
          <w:sz w:val="22"/>
        </w:rPr>
        <w:t>Similarly</w:t>
      </w:r>
      <w:proofErr w:type="gramEnd"/>
      <w:r w:rsidRPr="00EC291D">
        <w:rPr>
          <w:rFonts w:asciiTheme="minorHAnsi" w:hAnsiTheme="minorHAnsi" w:cstheme="minorHAnsi"/>
          <w:sz w:val="22"/>
        </w:rPr>
        <w:t xml:space="preserve"> this held true for patients with a PCWP using a cut-off of 12mmHg. There was no survival difference in those patients with a VEDP &gt; 12 mmHg vs VEDP &lt;12mmHg if the PCWP was &lt;12mmHg. </w:t>
      </w:r>
    </w:p>
    <w:p w14:paraId="579571D8" w14:textId="77777777" w:rsidR="009A0FC6" w:rsidRPr="00EC291D" w:rsidRDefault="009A0FC6" w:rsidP="009A0FC6">
      <w:pPr>
        <w:pStyle w:val="NoSpacing"/>
        <w:rPr>
          <w:rFonts w:asciiTheme="minorHAnsi" w:hAnsiTheme="minorHAnsi" w:cstheme="minorHAnsi"/>
          <w:sz w:val="22"/>
        </w:rPr>
      </w:pPr>
    </w:p>
    <w:p w14:paraId="1B3D593E" w14:textId="77777777" w:rsidR="009A0FC6" w:rsidRPr="00EC291D" w:rsidRDefault="009A0FC6" w:rsidP="009A0FC6">
      <w:pPr>
        <w:pStyle w:val="NoSpacing"/>
        <w:rPr>
          <w:rFonts w:asciiTheme="minorHAnsi" w:hAnsiTheme="minorHAnsi" w:cstheme="minorHAnsi"/>
          <w:sz w:val="22"/>
        </w:rPr>
      </w:pPr>
    </w:p>
    <w:p w14:paraId="1B9556F9" w14:textId="77777777" w:rsidR="009A0FC6" w:rsidRPr="00EC291D" w:rsidRDefault="009A0FC6" w:rsidP="009A0FC6">
      <w:pPr>
        <w:pStyle w:val="NoSpacing"/>
        <w:rPr>
          <w:rFonts w:asciiTheme="minorHAnsi" w:hAnsiTheme="minorHAnsi" w:cstheme="minorHAnsi"/>
          <w:sz w:val="22"/>
        </w:rPr>
      </w:pPr>
      <w:r w:rsidRPr="00EC291D">
        <w:rPr>
          <w:rFonts w:asciiTheme="minorHAnsi" w:hAnsiTheme="minorHAnsi" w:cstheme="minorHAnsi"/>
          <w:noProof/>
          <w:sz w:val="22"/>
        </w:rPr>
        <w:drawing>
          <wp:inline distT="0" distB="0" distL="0" distR="0" wp14:anchorId="17DEB937" wp14:editId="5674373D">
            <wp:extent cx="5731510" cy="31337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33725"/>
                    </a:xfrm>
                    <a:prstGeom prst="rect">
                      <a:avLst/>
                    </a:prstGeom>
                  </pic:spPr>
                </pic:pic>
              </a:graphicData>
            </a:graphic>
          </wp:inline>
        </w:drawing>
      </w:r>
    </w:p>
    <w:p w14:paraId="4B3651D1" w14:textId="77777777" w:rsidR="009A0FC6" w:rsidRPr="00EC291D" w:rsidRDefault="009A0FC6" w:rsidP="009A0FC6">
      <w:pPr>
        <w:pStyle w:val="NoSpacing"/>
        <w:rPr>
          <w:rFonts w:asciiTheme="minorHAnsi" w:hAnsiTheme="minorHAnsi" w:cstheme="minorHAnsi"/>
          <w:sz w:val="22"/>
        </w:rPr>
      </w:pPr>
    </w:p>
    <w:p w14:paraId="7DEDA413" w14:textId="77777777" w:rsidR="009A0FC6" w:rsidRPr="00EC291D" w:rsidRDefault="009A0FC6" w:rsidP="009A0FC6">
      <w:pPr>
        <w:pStyle w:val="NoSpacing"/>
        <w:rPr>
          <w:rFonts w:asciiTheme="minorHAnsi" w:hAnsiTheme="minorHAnsi" w:cstheme="minorHAnsi"/>
          <w:sz w:val="22"/>
        </w:rPr>
      </w:pPr>
      <w:r w:rsidRPr="00EC291D">
        <w:rPr>
          <w:rFonts w:asciiTheme="minorHAnsi" w:hAnsiTheme="minorHAnsi" w:cstheme="minorHAnsi"/>
          <w:sz w:val="22"/>
        </w:rPr>
        <w:t>Pulmonary artery wedge pressure was a better predictor of mortality than ventricular end diastolic pressure.</w:t>
      </w:r>
    </w:p>
    <w:p w14:paraId="20BC7559" w14:textId="77777777" w:rsidR="009A0FC6" w:rsidRPr="00EC291D" w:rsidRDefault="009A0FC6" w:rsidP="009A0FC6">
      <w:pPr>
        <w:pStyle w:val="NoSpacing"/>
        <w:rPr>
          <w:rFonts w:asciiTheme="minorHAnsi" w:hAnsiTheme="minorHAnsi" w:cstheme="minorHAnsi"/>
          <w:sz w:val="22"/>
        </w:rPr>
      </w:pPr>
    </w:p>
    <w:p w14:paraId="78EEA854" w14:textId="77777777" w:rsidR="009A0FC6" w:rsidRPr="00EC291D" w:rsidRDefault="009A0FC6" w:rsidP="009A0FC6">
      <w:pPr>
        <w:pStyle w:val="NoSpacing"/>
        <w:rPr>
          <w:rFonts w:asciiTheme="minorHAnsi" w:hAnsiTheme="minorHAnsi" w:cstheme="minorHAnsi"/>
          <w:b/>
          <w:bCs/>
          <w:sz w:val="22"/>
        </w:rPr>
      </w:pPr>
      <w:r w:rsidRPr="00EC291D">
        <w:rPr>
          <w:rFonts w:asciiTheme="minorHAnsi" w:hAnsiTheme="minorHAnsi" w:cstheme="minorHAnsi"/>
          <w:b/>
          <w:bCs/>
          <w:sz w:val="22"/>
        </w:rPr>
        <w:t>Positive aspects of the study:</w:t>
      </w:r>
    </w:p>
    <w:p w14:paraId="76BC85EA" w14:textId="77777777" w:rsidR="009A0FC6" w:rsidRPr="00EC291D" w:rsidRDefault="009A0FC6" w:rsidP="009A0FC6">
      <w:pPr>
        <w:pStyle w:val="NoSpacing"/>
        <w:numPr>
          <w:ilvl w:val="0"/>
          <w:numId w:val="1"/>
        </w:numPr>
        <w:rPr>
          <w:rFonts w:asciiTheme="minorHAnsi" w:hAnsiTheme="minorHAnsi" w:cstheme="minorHAnsi"/>
          <w:sz w:val="22"/>
        </w:rPr>
      </w:pPr>
      <w:r w:rsidRPr="00EC291D">
        <w:rPr>
          <w:rFonts w:asciiTheme="minorHAnsi" w:hAnsiTheme="minorHAnsi" w:cstheme="minorHAnsi"/>
          <w:sz w:val="22"/>
        </w:rPr>
        <w:t>Large sample size for a Fontan study</w:t>
      </w:r>
    </w:p>
    <w:p w14:paraId="396A5553" w14:textId="77777777" w:rsidR="009A0FC6" w:rsidRPr="00EC291D" w:rsidRDefault="009A0FC6" w:rsidP="009A0FC6">
      <w:pPr>
        <w:pStyle w:val="NoSpacing"/>
        <w:numPr>
          <w:ilvl w:val="0"/>
          <w:numId w:val="1"/>
        </w:numPr>
        <w:rPr>
          <w:rFonts w:asciiTheme="minorHAnsi" w:hAnsiTheme="minorHAnsi" w:cstheme="minorHAnsi"/>
          <w:sz w:val="22"/>
        </w:rPr>
      </w:pPr>
      <w:r w:rsidRPr="00EC291D">
        <w:rPr>
          <w:rFonts w:asciiTheme="minorHAnsi" w:hAnsiTheme="minorHAnsi" w:cstheme="minorHAnsi"/>
          <w:sz w:val="22"/>
        </w:rPr>
        <w:t>Reproducible methodology</w:t>
      </w:r>
    </w:p>
    <w:p w14:paraId="3F58199C" w14:textId="77777777" w:rsidR="009A0FC6" w:rsidRPr="00EC291D" w:rsidRDefault="009A0FC6" w:rsidP="009A0FC6">
      <w:pPr>
        <w:pStyle w:val="NoSpacing"/>
        <w:numPr>
          <w:ilvl w:val="0"/>
          <w:numId w:val="1"/>
        </w:numPr>
        <w:rPr>
          <w:rFonts w:asciiTheme="minorHAnsi" w:hAnsiTheme="minorHAnsi" w:cstheme="minorHAnsi"/>
          <w:sz w:val="22"/>
        </w:rPr>
      </w:pPr>
      <w:r w:rsidRPr="00EC291D">
        <w:rPr>
          <w:rFonts w:asciiTheme="minorHAnsi" w:hAnsiTheme="minorHAnsi" w:cstheme="minorHAnsi"/>
          <w:sz w:val="22"/>
        </w:rPr>
        <w:t>Offers a tool for helping to predict outcome in Fontan patients</w:t>
      </w:r>
    </w:p>
    <w:p w14:paraId="31DB41F3" w14:textId="77777777" w:rsidR="009A0FC6" w:rsidRPr="00EC291D" w:rsidRDefault="009A0FC6" w:rsidP="009A0FC6">
      <w:pPr>
        <w:pStyle w:val="NoSpacing"/>
        <w:rPr>
          <w:rFonts w:asciiTheme="minorHAnsi" w:hAnsiTheme="minorHAnsi" w:cstheme="minorHAnsi"/>
          <w:sz w:val="22"/>
        </w:rPr>
      </w:pPr>
    </w:p>
    <w:p w14:paraId="437DDDAB" w14:textId="77777777" w:rsidR="009A0FC6" w:rsidRPr="00EC291D" w:rsidRDefault="009A0FC6" w:rsidP="009A0FC6">
      <w:pPr>
        <w:pStyle w:val="NoSpacing"/>
        <w:rPr>
          <w:rFonts w:asciiTheme="minorHAnsi" w:hAnsiTheme="minorHAnsi" w:cstheme="minorHAnsi"/>
          <w:b/>
          <w:bCs/>
          <w:sz w:val="22"/>
        </w:rPr>
      </w:pPr>
      <w:r w:rsidRPr="00EC291D">
        <w:rPr>
          <w:rFonts w:asciiTheme="minorHAnsi" w:hAnsiTheme="minorHAnsi" w:cstheme="minorHAnsi"/>
          <w:b/>
          <w:bCs/>
          <w:sz w:val="22"/>
        </w:rPr>
        <w:lastRenderedPageBreak/>
        <w:t>Negative aspects of the study:</w:t>
      </w:r>
    </w:p>
    <w:p w14:paraId="4EADD385" w14:textId="77777777" w:rsidR="009A0FC6" w:rsidRPr="00EC291D" w:rsidRDefault="009A0FC6" w:rsidP="009A0FC6">
      <w:pPr>
        <w:pStyle w:val="NoSpacing"/>
        <w:numPr>
          <w:ilvl w:val="0"/>
          <w:numId w:val="1"/>
        </w:numPr>
        <w:rPr>
          <w:rFonts w:asciiTheme="minorHAnsi" w:hAnsiTheme="minorHAnsi" w:cstheme="minorHAnsi"/>
          <w:sz w:val="22"/>
        </w:rPr>
      </w:pPr>
      <w:r w:rsidRPr="00EC291D">
        <w:rPr>
          <w:rFonts w:asciiTheme="minorHAnsi" w:hAnsiTheme="minorHAnsi" w:cstheme="minorHAnsi"/>
          <w:sz w:val="22"/>
        </w:rPr>
        <w:t>The team point out that many patients who died after the catheter study did not have raised PAWP.  This was far in excess of what would be expected for background, non-Fontan related deaths.</w:t>
      </w:r>
    </w:p>
    <w:p w14:paraId="7D986C74" w14:textId="77777777" w:rsidR="009A0FC6" w:rsidRPr="00EC291D" w:rsidRDefault="009A0FC6" w:rsidP="009A0FC6">
      <w:pPr>
        <w:pStyle w:val="NoSpacing"/>
        <w:numPr>
          <w:ilvl w:val="0"/>
          <w:numId w:val="1"/>
        </w:numPr>
        <w:rPr>
          <w:rFonts w:asciiTheme="minorHAnsi" w:hAnsiTheme="minorHAnsi" w:cstheme="minorHAnsi"/>
          <w:sz w:val="22"/>
        </w:rPr>
      </w:pPr>
      <w:r w:rsidRPr="00EC291D">
        <w:rPr>
          <w:rFonts w:asciiTheme="minorHAnsi" w:hAnsiTheme="minorHAnsi" w:cstheme="minorHAnsi"/>
          <w:sz w:val="22"/>
        </w:rPr>
        <w:t>No potential measures are suggested to prevent deterioration.</w:t>
      </w:r>
    </w:p>
    <w:p w14:paraId="5B85A7DC"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EE1BD6"/>
    <w:multiLevelType w:val="hybridMultilevel"/>
    <w:tmpl w:val="E324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FC6"/>
    <w:rsid w:val="001B2259"/>
    <w:rsid w:val="004A77B2"/>
    <w:rsid w:val="005C205F"/>
    <w:rsid w:val="009A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2C73E"/>
  <w15:chartTrackingRefBased/>
  <w15:docId w15:val="{E622579C-B27A-4B83-8DFA-32F5D991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FC6"/>
  </w:style>
  <w:style w:type="paragraph" w:styleId="Heading1">
    <w:name w:val="heading 1"/>
    <w:basedOn w:val="Normal"/>
    <w:next w:val="Normal"/>
    <w:link w:val="Heading1Char"/>
    <w:uiPriority w:val="9"/>
    <w:qFormat/>
    <w:rsid w:val="009A0F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FC6"/>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A0FC6"/>
    <w:rPr>
      <w:b/>
      <w:bCs/>
    </w:rPr>
  </w:style>
  <w:style w:type="character" w:styleId="Hyperlink">
    <w:name w:val="Hyperlink"/>
    <w:basedOn w:val="DefaultParagraphFont"/>
    <w:uiPriority w:val="99"/>
    <w:unhideWhenUsed/>
    <w:rsid w:val="009A0FC6"/>
    <w:rPr>
      <w:color w:val="0563C1" w:themeColor="hyperlink"/>
      <w:u w:val="single"/>
    </w:rPr>
  </w:style>
  <w:style w:type="paragraph" w:customStyle="1" w:styleId="desc">
    <w:name w:val="desc"/>
    <w:basedOn w:val="Normal"/>
    <w:rsid w:val="009A0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9A0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9A0FC6"/>
  </w:style>
  <w:style w:type="paragraph" w:styleId="NoSpacing">
    <w:name w:val="No Spacing"/>
    <w:uiPriority w:val="1"/>
    <w:qFormat/>
    <w:rsid w:val="009A0FC6"/>
    <w:pPr>
      <w:spacing w:after="0" w:line="240" w:lineRule="auto"/>
    </w:pPr>
    <w:rPr>
      <w:rFonts w:ascii="Arial" w:hAnsi="Arial"/>
      <w:sz w:val="24"/>
      <w:lang w:val="en-GB"/>
    </w:rPr>
  </w:style>
  <w:style w:type="paragraph" w:customStyle="1" w:styleId="links">
    <w:name w:val="links"/>
    <w:basedOn w:val="Normal"/>
    <w:rsid w:val="009A0F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ncbi.nlm.nih.gov/pubmed?linkname=pubmed_pubmed&amp;from_uid=3114554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412</Words>
  <Characters>2353</Characters>
  <Application>Microsoft Office Word</Application>
  <DocSecurity>0</DocSecurity>
  <Lines>19</Lines>
  <Paragraphs>5</Paragraphs>
  <ScaleCrop>false</ScaleCrop>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2020-03-28T15:21:00Z</dcterms:created>
  <dcterms:modified xsi:type="dcterms:W3CDTF">2020-03-28T18:19:00Z</dcterms:modified>
</cp:coreProperties>
</file>