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87239" w14:textId="77777777" w:rsidR="00EB58E0" w:rsidRPr="00EC291D" w:rsidRDefault="00EB58E0" w:rsidP="00EB58E0">
      <w:pPr>
        <w:pStyle w:val="Heading1"/>
        <w:rPr>
          <w:color w:val="000000"/>
        </w:rPr>
      </w:pPr>
      <w:r>
        <w:fldChar w:fldCharType="begin"/>
      </w:r>
      <w:r>
        <w:instrText xml:space="preserve"> HYPERLINK "https://www.ncbi.nlm.nih.gov/pubmed/31292191" </w:instrText>
      </w:r>
      <w:r>
        <w:fldChar w:fldCharType="separate"/>
      </w:r>
      <w:r w:rsidRPr="00657C32">
        <w:rPr>
          <w:highlight w:val="yellow"/>
          <w:u w:color="1800C0"/>
        </w:rPr>
        <w:t>Progression of aortic root dilatation and aortic valve regurgitation after the arterial switch operation.</w:t>
      </w:r>
      <w:r>
        <w:rPr>
          <w:highlight w:val="yellow"/>
          <w:u w:color="1800C0"/>
        </w:rPr>
        <w:fldChar w:fldCharType="end"/>
      </w:r>
    </w:p>
    <w:p w14:paraId="6602E6F8" w14:textId="77777777" w:rsidR="00EB58E0" w:rsidRPr="00EC291D" w:rsidRDefault="00EB58E0" w:rsidP="00EB58E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 xml:space="preserve">van der </w:t>
      </w:r>
      <w:proofErr w:type="spellStart"/>
      <w:r w:rsidRPr="00EC291D">
        <w:rPr>
          <w:rFonts w:cstheme="minorHAnsi"/>
          <w:color w:val="000000"/>
        </w:rPr>
        <w:t>Palen</w:t>
      </w:r>
      <w:proofErr w:type="spellEnd"/>
      <w:r w:rsidRPr="00EC291D">
        <w:rPr>
          <w:rFonts w:cstheme="minorHAnsi"/>
          <w:color w:val="000000"/>
        </w:rPr>
        <w:t xml:space="preserve"> RLF, van der Bom T, Dekker A, </w:t>
      </w:r>
      <w:proofErr w:type="spellStart"/>
      <w:r w:rsidRPr="00EC291D">
        <w:rPr>
          <w:rFonts w:cstheme="minorHAnsi"/>
          <w:color w:val="000000"/>
        </w:rPr>
        <w:t>Tsonaka</w:t>
      </w:r>
      <w:proofErr w:type="spellEnd"/>
      <w:r w:rsidRPr="00EC291D">
        <w:rPr>
          <w:rFonts w:cstheme="minorHAnsi"/>
          <w:color w:val="000000"/>
        </w:rPr>
        <w:t xml:space="preserve"> R, van </w:t>
      </w:r>
      <w:proofErr w:type="spellStart"/>
      <w:r w:rsidRPr="00EC291D">
        <w:rPr>
          <w:rFonts w:cstheme="minorHAnsi"/>
          <w:color w:val="000000"/>
        </w:rPr>
        <w:t>Geloven</w:t>
      </w:r>
      <w:proofErr w:type="spellEnd"/>
      <w:r w:rsidRPr="00EC291D">
        <w:rPr>
          <w:rFonts w:cstheme="minorHAnsi"/>
          <w:color w:val="000000"/>
        </w:rPr>
        <w:t xml:space="preserve"> N, </w:t>
      </w:r>
      <w:proofErr w:type="spellStart"/>
      <w:r w:rsidRPr="00EC291D">
        <w:rPr>
          <w:rFonts w:cstheme="minorHAnsi"/>
          <w:color w:val="000000"/>
        </w:rPr>
        <w:t>Kuipers</w:t>
      </w:r>
      <w:proofErr w:type="spellEnd"/>
      <w:r w:rsidRPr="00EC291D">
        <w:rPr>
          <w:rFonts w:cstheme="minorHAnsi"/>
          <w:color w:val="000000"/>
        </w:rPr>
        <w:t xml:space="preserve"> IM, </w:t>
      </w:r>
      <w:proofErr w:type="spellStart"/>
      <w:r w:rsidRPr="00EC291D">
        <w:rPr>
          <w:rFonts w:cstheme="minorHAnsi"/>
          <w:color w:val="000000"/>
        </w:rPr>
        <w:t>Konings</w:t>
      </w:r>
      <w:proofErr w:type="spellEnd"/>
      <w:r w:rsidRPr="00EC291D">
        <w:rPr>
          <w:rFonts w:cstheme="minorHAnsi"/>
          <w:color w:val="000000"/>
        </w:rPr>
        <w:t xml:space="preserve"> TC, </w:t>
      </w:r>
      <w:proofErr w:type="spellStart"/>
      <w:r w:rsidRPr="00EC291D">
        <w:rPr>
          <w:rFonts w:cstheme="minorHAnsi"/>
          <w:color w:val="000000"/>
        </w:rPr>
        <w:t>Rammeloo</w:t>
      </w:r>
      <w:proofErr w:type="spellEnd"/>
      <w:r w:rsidRPr="00EC291D">
        <w:rPr>
          <w:rFonts w:cstheme="minorHAnsi"/>
          <w:color w:val="000000"/>
        </w:rPr>
        <w:t xml:space="preserve"> LAJ, Ten </w:t>
      </w:r>
      <w:proofErr w:type="spellStart"/>
      <w:r w:rsidRPr="00EC291D">
        <w:rPr>
          <w:rFonts w:cstheme="minorHAnsi"/>
          <w:color w:val="000000"/>
        </w:rPr>
        <w:t>Harkel</w:t>
      </w:r>
      <w:proofErr w:type="spellEnd"/>
      <w:r w:rsidRPr="00EC291D">
        <w:rPr>
          <w:rFonts w:cstheme="minorHAnsi"/>
          <w:color w:val="000000"/>
        </w:rPr>
        <w:t xml:space="preserve"> ADJ, </w:t>
      </w:r>
      <w:proofErr w:type="spellStart"/>
      <w:r w:rsidRPr="00EC291D">
        <w:rPr>
          <w:rFonts w:cstheme="minorHAnsi"/>
          <w:color w:val="000000"/>
        </w:rPr>
        <w:t>Jongbloed</w:t>
      </w:r>
      <w:proofErr w:type="spellEnd"/>
      <w:r w:rsidRPr="00EC291D">
        <w:rPr>
          <w:rFonts w:cstheme="minorHAnsi"/>
          <w:color w:val="000000"/>
        </w:rPr>
        <w:t xml:space="preserve"> MRM, </w:t>
      </w:r>
      <w:proofErr w:type="spellStart"/>
      <w:r w:rsidRPr="00EC291D">
        <w:rPr>
          <w:rFonts w:cstheme="minorHAnsi"/>
          <w:color w:val="000000"/>
        </w:rPr>
        <w:t>Koolbergen</w:t>
      </w:r>
      <w:proofErr w:type="spellEnd"/>
      <w:r w:rsidRPr="00EC291D">
        <w:rPr>
          <w:rFonts w:cstheme="minorHAnsi"/>
          <w:color w:val="000000"/>
        </w:rPr>
        <w:t xml:space="preserve"> DR, Mulder BJM, </w:t>
      </w:r>
      <w:proofErr w:type="spellStart"/>
      <w:r w:rsidRPr="00EC291D">
        <w:rPr>
          <w:rFonts w:cstheme="minorHAnsi"/>
          <w:color w:val="000000"/>
        </w:rPr>
        <w:t>Hazekamp</w:t>
      </w:r>
      <w:proofErr w:type="spellEnd"/>
      <w:r w:rsidRPr="00EC291D">
        <w:rPr>
          <w:rFonts w:cstheme="minorHAnsi"/>
          <w:color w:val="000000"/>
        </w:rPr>
        <w:t xml:space="preserve"> MG, </w:t>
      </w:r>
      <w:proofErr w:type="spellStart"/>
      <w:r w:rsidRPr="00EC291D">
        <w:rPr>
          <w:rFonts w:cstheme="minorHAnsi"/>
          <w:color w:val="000000"/>
        </w:rPr>
        <w:t>Blom</w:t>
      </w:r>
      <w:proofErr w:type="spellEnd"/>
      <w:r w:rsidRPr="00EC291D">
        <w:rPr>
          <w:rFonts w:cstheme="minorHAnsi"/>
          <w:color w:val="000000"/>
        </w:rPr>
        <w:t xml:space="preserve"> NA.</w:t>
      </w:r>
    </w:p>
    <w:p w14:paraId="1863B860" w14:textId="77777777" w:rsidR="00EB58E0" w:rsidRPr="00EC291D" w:rsidRDefault="00EB58E0" w:rsidP="00EB58E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bCs/>
          <w:color w:val="000000"/>
        </w:rPr>
        <w:t>Heart</w:t>
      </w:r>
      <w:r w:rsidRPr="00EC291D">
        <w:rPr>
          <w:rFonts w:cstheme="minorHAnsi"/>
          <w:color w:val="000000"/>
        </w:rPr>
        <w:t>. 2019 Jul 10. pii: heartjnl-2019-315157. doi: 10.1136/heartjnl-2019-315157. [Epub ahead of print]</w:t>
      </w:r>
    </w:p>
    <w:p w14:paraId="44A4ED27" w14:textId="77777777" w:rsidR="00EB58E0" w:rsidRPr="00EC291D" w:rsidRDefault="00EB58E0" w:rsidP="00EB58E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454545"/>
        </w:rPr>
      </w:pPr>
      <w:r w:rsidRPr="00EC291D">
        <w:rPr>
          <w:rFonts w:cstheme="minorHAnsi"/>
          <w:color w:val="454545"/>
        </w:rPr>
        <w:t xml:space="preserve">PMID: 31292191 </w:t>
      </w:r>
      <w:hyperlink r:id="rId5" w:history="1">
        <w:r w:rsidRPr="00EC291D">
          <w:rPr>
            <w:rFonts w:cstheme="minorHAnsi"/>
            <w:bCs/>
            <w:color w:val="854428"/>
          </w:rPr>
          <w:t>Free Article</w:t>
        </w:r>
      </w:hyperlink>
    </w:p>
    <w:p w14:paraId="062AC671" w14:textId="77777777" w:rsidR="00EB58E0" w:rsidRPr="00EC291D" w:rsidRDefault="006D23C2" w:rsidP="00EB58E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hyperlink r:id="rId6" w:history="1">
        <w:r w:rsidR="00EB58E0" w:rsidRPr="00EC291D">
          <w:rPr>
            <w:rFonts w:cstheme="minorHAnsi"/>
            <w:color w:val="53509A"/>
            <w:u w:val="single" w:color="53509A"/>
          </w:rPr>
          <w:t>Similar articles</w:t>
        </w:r>
      </w:hyperlink>
    </w:p>
    <w:p w14:paraId="320B854A" w14:textId="77777777" w:rsidR="00EB58E0" w:rsidRPr="00EC291D" w:rsidRDefault="00EB58E0" w:rsidP="00EB58E0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EC291D">
        <w:rPr>
          <w:rFonts w:cstheme="minorHAnsi"/>
          <w:color w:val="000000"/>
        </w:rPr>
        <w:t>Select item 31289972</w:t>
      </w:r>
    </w:p>
    <w:p w14:paraId="7F05301C" w14:textId="77777777" w:rsidR="00EB58E0" w:rsidRPr="00EC291D" w:rsidRDefault="00EB58E0" w:rsidP="00EB58E0">
      <w:pPr>
        <w:rPr>
          <w:rFonts w:cstheme="minorHAnsi"/>
          <w:b/>
        </w:rPr>
      </w:pPr>
    </w:p>
    <w:p w14:paraId="0513A646" w14:textId="77777777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  <w:b/>
        </w:rPr>
        <w:t>Take Home Points:</w:t>
      </w:r>
    </w:p>
    <w:p w14:paraId="5DDE87E5" w14:textId="77777777" w:rsidR="00EB58E0" w:rsidRPr="00EC291D" w:rsidRDefault="00EB58E0" w:rsidP="00EB58E0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EC291D">
        <w:rPr>
          <w:rFonts w:cstheme="minorHAnsi"/>
          <w:sz w:val="22"/>
          <w:szCs w:val="22"/>
        </w:rPr>
        <w:t>Neo-aortic root dilatation and aortic incompetence in patients post ASO is progressive – does not stabilize over time.</w:t>
      </w:r>
    </w:p>
    <w:p w14:paraId="3D104C6F" w14:textId="77777777" w:rsidR="00EB58E0" w:rsidRPr="00EC291D" w:rsidRDefault="00EB58E0" w:rsidP="00EB58E0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EC291D">
        <w:rPr>
          <w:rFonts w:cstheme="minorHAnsi"/>
          <w:sz w:val="22"/>
          <w:szCs w:val="22"/>
        </w:rPr>
        <w:t xml:space="preserve">More complex subtypes of TGA and male gender were associated with greater increases in root dilatation. </w:t>
      </w:r>
    </w:p>
    <w:p w14:paraId="35511BE9" w14:textId="77777777" w:rsidR="00EB58E0" w:rsidRPr="00EC291D" w:rsidRDefault="00EB58E0" w:rsidP="00EB58E0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EC291D">
        <w:rPr>
          <w:rFonts w:cstheme="minorHAnsi"/>
          <w:sz w:val="22"/>
          <w:szCs w:val="22"/>
        </w:rPr>
        <w:t xml:space="preserve">A disproportionate increase of aortic root size occurs in the first year post ASO. </w:t>
      </w:r>
    </w:p>
    <w:p w14:paraId="03A88E78" w14:textId="77777777" w:rsidR="00EB58E0" w:rsidRDefault="00EB58E0" w:rsidP="00EB58E0">
      <w:pPr>
        <w:rPr>
          <w:rFonts w:cstheme="minorHAnsi"/>
        </w:rPr>
      </w:pPr>
    </w:p>
    <w:p w14:paraId="746E3661" w14:textId="77777777" w:rsidR="00EB58E0" w:rsidRPr="00EC291D" w:rsidRDefault="00EB58E0" w:rsidP="00EB58E0">
      <w:pPr>
        <w:rPr>
          <w:rFonts w:cstheme="minorHAnsi"/>
        </w:rPr>
      </w:pPr>
      <w:r>
        <w:rPr>
          <w:noProof/>
        </w:rPr>
        <w:drawing>
          <wp:inline distT="0" distB="0" distL="0" distR="0" wp14:anchorId="779CF4E8" wp14:editId="5B6C6E7A">
            <wp:extent cx="2222500" cy="2540000"/>
            <wp:effectExtent l="0" t="0" r="635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FF97" w14:textId="1561BCE2" w:rsidR="00EB58E0" w:rsidRPr="00EC291D" w:rsidRDefault="00EB58E0" w:rsidP="00EB58E0">
      <w:pPr>
        <w:rPr>
          <w:rFonts w:cstheme="minorHAnsi"/>
        </w:rPr>
      </w:pPr>
      <w:r w:rsidRPr="00EC291D">
        <w:rPr>
          <w:rStyle w:val="Strong"/>
          <w:rFonts w:cstheme="minorHAnsi"/>
          <w:i/>
          <w:iCs/>
        </w:rPr>
        <w:t xml:space="preserve">Commentary from Dr. Blanche Cupido (Cape Town, South Africa), section editor of ACHD Journal Watch:  </w:t>
      </w:r>
      <w:r w:rsidRPr="00EC291D">
        <w:rPr>
          <w:rFonts w:cstheme="minorHAnsi"/>
        </w:rPr>
        <w:t xml:space="preserve">The arterial switch operation (ASO) has largely replaced the atrial switch procedure for transposition of the great arteries (TGA) over the last 2 decades. The late survival with this procedure has been excellent but the concern of neo-aortic dilatation (in &gt;2/3 of patients) and aortic regurgitation (AR) remains. There is however limited data, especially in adults, on the progression of neo-aortic dilatation. </w:t>
      </w:r>
    </w:p>
    <w:p w14:paraId="01B8FCF4" w14:textId="77777777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</w:rPr>
        <w:t xml:space="preserve">This is a retrospective study from the Netherlands, describing neo-aortic growth, neo-aortic valve function and the need for neo-aortic root intervention at long term follow-up and to identify risk factors for root dilatation and AR. </w:t>
      </w:r>
    </w:p>
    <w:p w14:paraId="30CCDFDA" w14:textId="77777777" w:rsidR="00EB58E0" w:rsidRPr="00EC291D" w:rsidRDefault="00EB58E0" w:rsidP="00EB58E0">
      <w:pPr>
        <w:rPr>
          <w:rFonts w:cstheme="minorHAnsi"/>
        </w:rPr>
      </w:pPr>
    </w:p>
    <w:p w14:paraId="2E6F0E79" w14:textId="0920580C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</w:rPr>
        <w:lastRenderedPageBreak/>
        <w:t xml:space="preserve">All patients who underwent an ASO for TGA with intact ventricular septum (TGA-IVS), TGA with VSD (TGA-VSD) or double outlet RV with subpulmonary VSD (DORV-SP-VSD) between 1977 and 2015 were included. All patients had 2 or more echocardiograms during follow-up. If possible, echo images at 3,6,9 and 12 months and then at 2,3 and 5 years and 5 year intervals thereafter were evaluated until the last available follow-up. The following neo-aortic measurements were recorded: annulus, mid-sinus and sinotubular junction. For paediatric patients, Z scores were calculated and dilatation defined as a Z score of 2 or more. AR jet and LV dimensions were also assessed. </w:t>
      </w:r>
    </w:p>
    <w:p w14:paraId="7067F11C" w14:textId="551412B4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</w:rPr>
        <w:t xml:space="preserve">A total of 452 patients underwent ASO. Fifty-two patients (11.5%) patients died during follow-up of which 42 deaths occurred during the first month post-op. Early deaths were higher in the years 1977-1987, and reduced to 3.3% in subsequent years. The cohort was made up of the following morphological subtypes: TGA-IVS (66.7%), TGA-VSD (25.8%) and DORV-SP-VSD (7.5%). </w:t>
      </w:r>
    </w:p>
    <w:p w14:paraId="5E99B961" w14:textId="77777777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  <w:noProof/>
        </w:rPr>
        <w:drawing>
          <wp:inline distT="0" distB="0" distL="0" distR="0" wp14:anchorId="69D72472" wp14:editId="7D9E195A">
            <wp:extent cx="1770380" cy="1355388"/>
            <wp:effectExtent l="0" t="0" r="0" b="3810"/>
            <wp:docPr id="45" name="Picture 4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763" cy="136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91D">
        <w:rPr>
          <w:rFonts w:cstheme="minorHAnsi"/>
          <w:noProof/>
        </w:rPr>
        <w:drawing>
          <wp:inline distT="0" distB="0" distL="0" distR="0" wp14:anchorId="353FA023" wp14:editId="64EF1DBA">
            <wp:extent cx="1633855" cy="1297586"/>
            <wp:effectExtent l="0" t="0" r="4445" b="0"/>
            <wp:docPr id="46" name="Picture 4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664" cy="13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91D">
        <w:rPr>
          <w:rFonts w:cstheme="minorHAnsi"/>
          <w:noProof/>
        </w:rPr>
        <w:drawing>
          <wp:inline distT="0" distB="0" distL="0" distR="0" wp14:anchorId="44545F8E" wp14:editId="73E2B581">
            <wp:extent cx="1678940" cy="1296701"/>
            <wp:effectExtent l="0" t="0" r="0" b="0"/>
            <wp:docPr id="47" name="Picture 4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9851" cy="13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A1F8" w14:textId="77777777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  <w:noProof/>
        </w:rPr>
        <w:drawing>
          <wp:inline distT="0" distB="0" distL="0" distR="0" wp14:anchorId="5B5A1DC8" wp14:editId="2B356EAE">
            <wp:extent cx="5232400" cy="165100"/>
            <wp:effectExtent l="0" t="0" r="0" b="0"/>
            <wp:docPr id="48" name="Picture 4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77DE" w14:textId="77777777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</w:rPr>
        <w:t xml:space="preserve"> </w:t>
      </w:r>
    </w:p>
    <w:p w14:paraId="44E22EC2" w14:textId="2D642A0C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</w:rPr>
        <w:t xml:space="preserve">Figure 2A-C above shows the absolute neo-aortic diameters for all patients with TGA. The dimensions for neo-aortic annulus, root and STJ shows a rapid increase in the first year post- ASO followed by a linear increase in childhood and an ongoing increased growth rate in adulthood. For neo-aortic annulus and root diameters, both TGA-VSD and DORV-PS-VSD showed significantly greater dilatation compared to TGA-IVS. Both morphological subtype and male gender were independent predictors for root dilatation. </w:t>
      </w:r>
      <w:bookmarkStart w:id="0" w:name="_GoBack"/>
      <w:bookmarkEnd w:id="0"/>
    </w:p>
    <w:p w14:paraId="34288FBC" w14:textId="77777777" w:rsidR="00EB58E0" w:rsidRPr="00EC291D" w:rsidRDefault="00EB58E0" w:rsidP="00EB58E0">
      <w:pPr>
        <w:rPr>
          <w:rFonts w:cstheme="minorHAnsi"/>
        </w:rPr>
      </w:pPr>
      <w:r w:rsidRPr="00EC291D">
        <w:rPr>
          <w:rFonts w:cstheme="minorHAnsi"/>
        </w:rPr>
        <w:t xml:space="preserve">Regarding aortic regurgitation, at last follow-up or just before re-operation for root pathology, 33 patients (9.6%) had at least moderate AR. </w:t>
      </w:r>
    </w:p>
    <w:p w14:paraId="131EEF2C" w14:textId="77777777" w:rsidR="001B2259" w:rsidRDefault="001B2259"/>
    <w:sectPr w:rsidR="001B2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DF759E"/>
    <w:multiLevelType w:val="hybridMultilevel"/>
    <w:tmpl w:val="022CC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8E0"/>
    <w:rsid w:val="001B2259"/>
    <w:rsid w:val="005C205F"/>
    <w:rsid w:val="006D23C2"/>
    <w:rsid w:val="008A3E18"/>
    <w:rsid w:val="00EB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10A9A"/>
  <w15:chartTrackingRefBased/>
  <w15:docId w15:val="{6E9BE6BE-3C4C-41F6-BAB4-A110B196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8E0"/>
  </w:style>
  <w:style w:type="paragraph" w:styleId="Heading1">
    <w:name w:val="heading 1"/>
    <w:basedOn w:val="Normal"/>
    <w:next w:val="Normal"/>
    <w:link w:val="Heading1Char"/>
    <w:uiPriority w:val="9"/>
    <w:qFormat/>
    <w:rsid w:val="00EB5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EB58E0"/>
    <w:rPr>
      <w:b/>
      <w:bCs/>
    </w:rPr>
  </w:style>
  <w:style w:type="paragraph" w:styleId="ListParagraph">
    <w:name w:val="List Paragraph"/>
    <w:basedOn w:val="Normal"/>
    <w:uiPriority w:val="34"/>
    <w:qFormat/>
    <w:rsid w:val="00EB58E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ubmed?linkname=pubmed_pubmed&amp;from_uid=31292191" TargetMode="External"/><Relationship Id="rId11" Type="http://schemas.openxmlformats.org/officeDocument/2006/relationships/image" Target="media/image5.tiff"/><Relationship Id="rId5" Type="http://schemas.openxmlformats.org/officeDocument/2006/relationships/hyperlink" Target="https://www.ncbi.nlm.nih.gov/pubmed/31292191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515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Webb</dc:creator>
  <cp:keywords/>
  <dc:description/>
  <cp:lastModifiedBy>Gary Webb</cp:lastModifiedBy>
  <cp:revision>3</cp:revision>
  <dcterms:created xsi:type="dcterms:W3CDTF">2020-03-28T13:38:00Z</dcterms:created>
  <dcterms:modified xsi:type="dcterms:W3CDTF">2020-03-28T19:41:00Z</dcterms:modified>
</cp:coreProperties>
</file>