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A64C7" w14:textId="77777777" w:rsidR="005E2440" w:rsidRPr="00EC291D" w:rsidRDefault="005E2440" w:rsidP="005E2440">
      <w:pPr>
        <w:pStyle w:val="Heading1"/>
        <w:rPr>
          <w:color w:val="000000"/>
        </w:rPr>
      </w:pPr>
      <w:r>
        <w:fldChar w:fldCharType="begin"/>
      </w:r>
      <w:r>
        <w:instrText xml:space="preserve"> HYPERLINK "https://www.ncbi.nlm.nih.gov/pubmed/30954207" </w:instrText>
      </w:r>
      <w:r>
        <w:fldChar w:fldCharType="separate"/>
      </w:r>
      <w:r w:rsidRPr="00DB129C">
        <w:rPr>
          <w:highlight w:val="yellow"/>
          <w:u w:color="1800C0"/>
        </w:rPr>
        <w:t>Relation Between New York Heart Association Functional Class and Objective Measures of Cardiopulmonary Exercise in Adults With Congenital Heart Disease.</w:t>
      </w:r>
      <w:r>
        <w:rPr>
          <w:highlight w:val="yellow"/>
          <w:u w:color="1800C0"/>
        </w:rPr>
        <w:fldChar w:fldCharType="end"/>
      </w:r>
    </w:p>
    <w:p w14:paraId="69A8DD70" w14:textId="77777777" w:rsidR="005E2440" w:rsidRPr="00EC291D" w:rsidRDefault="005E2440" w:rsidP="005E2440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 xml:space="preserve">Das BB, Young ML, </w:t>
      </w:r>
      <w:proofErr w:type="spellStart"/>
      <w:r w:rsidRPr="00EC291D">
        <w:rPr>
          <w:rFonts w:cstheme="minorHAnsi"/>
          <w:color w:val="000000"/>
        </w:rPr>
        <w:t>Niu</w:t>
      </w:r>
      <w:proofErr w:type="spellEnd"/>
      <w:r w:rsidRPr="00EC291D">
        <w:rPr>
          <w:rFonts w:cstheme="minorHAnsi"/>
          <w:color w:val="000000"/>
        </w:rPr>
        <w:t xml:space="preserve"> J, Mendoza LE, Chan KC, Roth T.</w:t>
      </w:r>
    </w:p>
    <w:p w14:paraId="0E4405E8" w14:textId="77777777" w:rsidR="005E2440" w:rsidRPr="00EC291D" w:rsidRDefault="005E2440" w:rsidP="005E2440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>Am J Cardiol. 2019 Jun 1;123(11):1868-1873. doi: 10.1016/j.amjcard.2019.02.053. Epub 2019 Mar 15.</w:t>
      </w:r>
    </w:p>
    <w:p w14:paraId="62A349A8" w14:textId="77777777" w:rsidR="005E2440" w:rsidRPr="00EC291D" w:rsidRDefault="005E2440" w:rsidP="005E2440">
      <w:pPr>
        <w:autoSpaceDE w:val="0"/>
        <w:autoSpaceDN w:val="0"/>
        <w:adjustRightInd w:val="0"/>
        <w:spacing w:after="0"/>
        <w:rPr>
          <w:rFonts w:cstheme="minorHAnsi"/>
          <w:color w:val="454545"/>
        </w:rPr>
      </w:pPr>
      <w:r w:rsidRPr="00EC291D">
        <w:rPr>
          <w:rFonts w:cstheme="minorHAnsi"/>
          <w:color w:val="454545"/>
        </w:rPr>
        <w:t>PMID: 30954207</w:t>
      </w:r>
    </w:p>
    <w:p w14:paraId="2D4D8A99" w14:textId="77777777" w:rsidR="005E2440" w:rsidRPr="00EC291D" w:rsidRDefault="00601D88" w:rsidP="005E2440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hyperlink r:id="rId5" w:history="1">
        <w:r w:rsidR="005E2440" w:rsidRPr="00EC291D">
          <w:rPr>
            <w:rFonts w:cstheme="minorHAnsi"/>
            <w:color w:val="53509A"/>
            <w:u w:val="single" w:color="53509A"/>
          </w:rPr>
          <w:t>Similar articles</w:t>
        </w:r>
      </w:hyperlink>
    </w:p>
    <w:p w14:paraId="12CADDE3" w14:textId="77777777" w:rsidR="005E2440" w:rsidRPr="00EC291D" w:rsidRDefault="005E2440" w:rsidP="005E2440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>Select item 30919579</w:t>
      </w:r>
    </w:p>
    <w:p w14:paraId="0BAEF9D3" w14:textId="77777777" w:rsidR="005E2440" w:rsidRPr="00EC291D" w:rsidRDefault="005E2440" w:rsidP="005E2440">
      <w:pPr>
        <w:rPr>
          <w:rFonts w:cstheme="minorHAnsi"/>
          <w:b/>
        </w:rPr>
      </w:pPr>
    </w:p>
    <w:p w14:paraId="52B2DB82" w14:textId="77777777" w:rsidR="005E2440" w:rsidRPr="00EC291D" w:rsidRDefault="005E2440" w:rsidP="005E2440">
      <w:pPr>
        <w:rPr>
          <w:rFonts w:cstheme="minorHAnsi"/>
          <w:b/>
        </w:rPr>
      </w:pPr>
      <w:r w:rsidRPr="007A6328">
        <w:rPr>
          <w:b/>
          <w:bCs/>
        </w:rPr>
        <w:t>Take Home Points:</w:t>
      </w:r>
    </w:p>
    <w:p w14:paraId="329BEB7C" w14:textId="77777777" w:rsidR="005E2440" w:rsidRPr="00EC291D" w:rsidRDefault="005E2440" w:rsidP="005E2440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sz w:val="22"/>
          <w:szCs w:val="22"/>
        </w:rPr>
        <w:t>NYHA class of patients is a simple measure for assessment of functional status, CPET remains an important tool to identify the source of exercise limitation in ACHD patients.</w:t>
      </w:r>
    </w:p>
    <w:p w14:paraId="22A5C50C" w14:textId="77777777" w:rsidR="005E2440" w:rsidRPr="00EC291D" w:rsidRDefault="005E2440" w:rsidP="005E2440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color w:val="000000"/>
          <w:sz w:val="22"/>
          <w:szCs w:val="22"/>
        </w:rPr>
        <w:t>CPET can provide objective and reproducible assessment of the cardiovascular, respiratory, and muscular systems.</w:t>
      </w:r>
    </w:p>
    <w:p w14:paraId="4C851E66" w14:textId="77777777" w:rsidR="005E2440" w:rsidRPr="00EC291D" w:rsidRDefault="005E2440" w:rsidP="005E2440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sz w:val="22"/>
          <w:szCs w:val="22"/>
        </w:rPr>
        <w:t>3 of CPET parameters (pVO2, OUES, and maximum DP) overall correlate well with NYHA functional class especially between NYHA functional class I and III.</w:t>
      </w:r>
    </w:p>
    <w:p w14:paraId="29EBFC02" w14:textId="77777777" w:rsidR="005E2440" w:rsidRPr="00EC291D" w:rsidRDefault="005E2440" w:rsidP="005E2440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sz w:val="22"/>
          <w:szCs w:val="22"/>
        </w:rPr>
        <w:t>If CPET cannot be performed, stratification using NYHA class is an acceptable alternative.</w:t>
      </w:r>
    </w:p>
    <w:p w14:paraId="5D2FA11B" w14:textId="77777777" w:rsidR="005E2440" w:rsidRDefault="005E2440" w:rsidP="005E2440">
      <w:pPr>
        <w:autoSpaceDE w:val="0"/>
        <w:autoSpaceDN w:val="0"/>
        <w:adjustRightInd w:val="0"/>
        <w:rPr>
          <w:rFonts w:cstheme="minorHAnsi"/>
        </w:rPr>
      </w:pPr>
    </w:p>
    <w:p w14:paraId="0744747C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  <w:r>
        <w:rPr>
          <w:noProof/>
        </w:rPr>
        <w:drawing>
          <wp:inline distT="0" distB="0" distL="0" distR="0" wp14:anchorId="2295ADEE" wp14:editId="633E549B">
            <wp:extent cx="1987550" cy="341132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17426" r="-222" b="173"/>
                    <a:stretch/>
                  </pic:blipFill>
                  <pic:spPr bwMode="auto">
                    <a:xfrm>
                      <a:off x="0" y="0"/>
                      <a:ext cx="2000198" cy="34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B0130" w14:textId="68A71505" w:rsidR="005E2440" w:rsidRPr="00EC291D" w:rsidRDefault="005E2440" w:rsidP="00D703DD">
      <w:pPr>
        <w:rPr>
          <w:rFonts w:cstheme="minorHAnsi"/>
          <w:color w:val="000000"/>
        </w:rPr>
      </w:pPr>
      <w:r w:rsidRPr="00EC291D">
        <w:rPr>
          <w:rStyle w:val="Strong"/>
          <w:rFonts w:cstheme="minorHAnsi"/>
          <w:i/>
          <w:iCs/>
        </w:rPr>
        <w:t xml:space="preserve">Commentary from Dr. Soha Romeih (Aswan, Egypt), section editor of ACHD Journal Watch:  </w:t>
      </w:r>
      <w:r w:rsidRPr="00EC291D">
        <w:rPr>
          <w:rFonts w:cstheme="minorHAnsi"/>
          <w:color w:val="000000"/>
        </w:rPr>
        <w:t xml:space="preserve">Das et al compared the New York Heart Association (NYHA) functional class in adults with CHD patients with measured cardiopulmonary exercise testing parameters. This was a retrospective study which included 175 ACHD patients who underwent CPET between 2014 till 2018 in a single center. The majority of </w:t>
      </w:r>
      <w:r w:rsidRPr="00EC291D">
        <w:rPr>
          <w:rFonts w:cstheme="minorHAnsi"/>
          <w:color w:val="000000"/>
        </w:rPr>
        <w:lastRenderedPageBreak/>
        <w:t xml:space="preserve">patients were repaired TOF (26%) followed by Fontan patients (19%) and repaired TGA with arterial or atrial switch (16%). </w:t>
      </w:r>
    </w:p>
    <w:p w14:paraId="0F59691B" w14:textId="77777777" w:rsidR="005E2440" w:rsidRPr="00EC291D" w:rsidRDefault="005E2440" w:rsidP="005E2440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b/>
          <w:bCs/>
          <w:iCs/>
          <w:color w:val="000000"/>
        </w:rPr>
      </w:pPr>
      <w:r w:rsidRPr="00EC291D">
        <w:rPr>
          <w:rFonts w:cstheme="minorHAnsi"/>
          <w:b/>
          <w:bCs/>
          <w:i/>
          <w:iCs/>
          <w:color w:val="000000"/>
        </w:rPr>
        <w:t xml:space="preserve">The NYHA class </w:t>
      </w:r>
      <w:r w:rsidRPr="00EC291D">
        <w:rPr>
          <w:rFonts w:cstheme="minorHAnsi"/>
          <w:iCs/>
          <w:color w:val="000000"/>
        </w:rPr>
        <w:t>was determined for each patient by physician assessment of patients’ self-reported symptoms before the exercise test or estimated from patient narrative from the medical record. Only patients with NYHA class I to III were enrolled in the study, as they were able to participate in CPET.</w:t>
      </w:r>
    </w:p>
    <w:p w14:paraId="7421DC0A" w14:textId="77777777" w:rsidR="005E2440" w:rsidRPr="00EC291D" w:rsidRDefault="005E2440" w:rsidP="005E2440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iCs/>
          <w:color w:val="000000"/>
        </w:rPr>
      </w:pPr>
      <w:r w:rsidRPr="00EC291D">
        <w:rPr>
          <w:rFonts w:cstheme="minorHAnsi"/>
          <w:b/>
          <w:bCs/>
          <w:i/>
          <w:iCs/>
          <w:color w:val="000000"/>
        </w:rPr>
        <w:t xml:space="preserve"> Symptoms limited CPET </w:t>
      </w:r>
      <w:r w:rsidRPr="00EC291D">
        <w:rPr>
          <w:rFonts w:cstheme="minorHAnsi"/>
          <w:iCs/>
          <w:color w:val="000000"/>
        </w:rPr>
        <w:t>was performed on all patients using treadmill according to modified Bruce protocol (97% of patients) or cycle ergometer ramping protocol (3% of patients). The measured parameters were:</w:t>
      </w:r>
    </w:p>
    <w:p w14:paraId="5203646B" w14:textId="77777777" w:rsidR="005E2440" w:rsidRPr="00EC291D" w:rsidRDefault="005E2440" w:rsidP="005E2440">
      <w:pPr>
        <w:numPr>
          <w:ilvl w:val="1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i/>
          <w:iCs/>
          <w:color w:val="000000"/>
        </w:rPr>
      </w:pPr>
      <w:r w:rsidRPr="00EC291D">
        <w:rPr>
          <w:rFonts w:cstheme="minorHAnsi"/>
          <w:b/>
          <w:bCs/>
          <w:i/>
          <w:iCs/>
          <w:color w:val="000000"/>
        </w:rPr>
        <w:t xml:space="preserve">Peak VO2 max, </w:t>
      </w:r>
      <w:r w:rsidRPr="00EC291D">
        <w:rPr>
          <w:rFonts w:cstheme="minorHAnsi"/>
        </w:rPr>
        <w:t>as the highest 30-second average during exercise.VO2 value was adjusted per ideal body weight</w:t>
      </w:r>
      <w:r w:rsidRPr="00EC291D">
        <w:rPr>
          <w:rFonts w:cstheme="minorHAnsi"/>
          <w:b/>
          <w:bCs/>
          <w:i/>
          <w:iCs/>
          <w:color w:val="000000"/>
        </w:rPr>
        <w:t xml:space="preserve"> the normal was &gt; 20 ml/kg/min.</w:t>
      </w:r>
    </w:p>
    <w:p w14:paraId="67302F37" w14:textId="77777777" w:rsidR="005E2440" w:rsidRPr="00EC291D" w:rsidRDefault="005E2440" w:rsidP="005E2440">
      <w:pPr>
        <w:numPr>
          <w:ilvl w:val="1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i/>
          <w:iCs/>
          <w:color w:val="000000"/>
        </w:rPr>
      </w:pPr>
      <w:r w:rsidRPr="00EC291D">
        <w:rPr>
          <w:rFonts w:cstheme="minorHAnsi"/>
        </w:rPr>
        <w:t>The VE/VCO2 nadir was taken as the lowest 30-second average during</w:t>
      </w:r>
      <w:r w:rsidRPr="00EC291D">
        <w:rPr>
          <w:rFonts w:cstheme="minorHAnsi"/>
          <w:i/>
          <w:iCs/>
          <w:color w:val="000000"/>
        </w:rPr>
        <w:t xml:space="preserve"> </w:t>
      </w:r>
      <w:r w:rsidRPr="00EC291D">
        <w:rPr>
          <w:rFonts w:cstheme="minorHAnsi"/>
        </w:rPr>
        <w:t>exercise, the cutoff of 34 (a prognostic tool of heart failure).</w:t>
      </w:r>
    </w:p>
    <w:p w14:paraId="3E9042B9" w14:textId="77777777" w:rsidR="005E2440" w:rsidRPr="00EC291D" w:rsidRDefault="005E2440" w:rsidP="005E2440">
      <w:pPr>
        <w:numPr>
          <w:ilvl w:val="1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iCs/>
          <w:color w:val="000000"/>
        </w:rPr>
      </w:pPr>
      <w:r w:rsidRPr="00EC291D">
        <w:rPr>
          <w:rFonts w:cstheme="minorHAnsi"/>
          <w:iCs/>
          <w:color w:val="000000"/>
        </w:rPr>
        <w:t>O2 uptake efficient slob (OUES) was measured as relationship between VO2 max and Log VE thought the exercise., cutoff value was 2,000.</w:t>
      </w:r>
    </w:p>
    <w:p w14:paraId="5B0F28E0" w14:textId="17565346" w:rsidR="005E2440" w:rsidRPr="00B90555" w:rsidRDefault="005E2440" w:rsidP="005E2440">
      <w:pPr>
        <w:numPr>
          <w:ilvl w:val="1"/>
          <w:numId w:val="1"/>
        </w:numPr>
        <w:autoSpaceDE w:val="0"/>
        <w:autoSpaceDN w:val="0"/>
        <w:adjustRightInd w:val="0"/>
        <w:spacing w:line="240" w:lineRule="auto"/>
        <w:ind w:left="720"/>
        <w:rPr>
          <w:rFonts w:cstheme="minorHAnsi"/>
          <w:b/>
          <w:bCs/>
          <w:color w:val="000000"/>
          <w:u w:val="single"/>
        </w:rPr>
      </w:pPr>
      <w:r w:rsidRPr="00B90555">
        <w:rPr>
          <w:rFonts w:cstheme="minorHAnsi"/>
          <w:iCs/>
          <w:color w:val="000000"/>
        </w:rPr>
        <w:t>Double product (DP) is the myocardial O2 uptake, defined as the amount of O@ consumed by the myocardium during exercise, was estimated by the product of heart rate and systolic blood pressure, cut off value was 20.000.</w:t>
      </w:r>
    </w:p>
    <w:p w14:paraId="6AEE20DA" w14:textId="447B291A" w:rsidR="005E2440" w:rsidRPr="00EC291D" w:rsidRDefault="005E2440" w:rsidP="005E2440">
      <w:pPr>
        <w:autoSpaceDE w:val="0"/>
        <w:autoSpaceDN w:val="0"/>
        <w:adjustRightInd w:val="0"/>
        <w:ind w:left="720"/>
        <w:rPr>
          <w:rFonts w:cstheme="minorHAnsi"/>
          <w:b/>
          <w:bCs/>
          <w:color w:val="000000"/>
          <w:u w:val="single"/>
        </w:rPr>
      </w:pPr>
      <w:r w:rsidRPr="00EC291D">
        <w:rPr>
          <w:rFonts w:cstheme="minorHAnsi"/>
          <w:b/>
          <w:bCs/>
          <w:color w:val="000000"/>
          <w:u w:val="single"/>
        </w:rPr>
        <w:t>Results:</w:t>
      </w:r>
    </w:p>
    <w:p w14:paraId="4C6F30B9" w14:textId="77777777" w:rsidR="005E2440" w:rsidRPr="00EC291D" w:rsidRDefault="005E2440" w:rsidP="005E24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6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b/>
          <w:bCs/>
          <w:color w:val="000000"/>
          <w:sz w:val="22"/>
          <w:szCs w:val="22"/>
          <w:u w:val="single"/>
        </w:rPr>
        <w:t>Peak VO2</w:t>
      </w:r>
      <w:r w:rsidRPr="00EC291D">
        <w:rPr>
          <w:rFonts w:cstheme="minorHAnsi"/>
          <w:color w:val="000000"/>
          <w:sz w:val="22"/>
          <w:szCs w:val="22"/>
        </w:rPr>
        <w:t xml:space="preserve"> in the overall study population was 26.4 ± 9.8 ml/kg/min or 72.7 ± 22.3% of predicted. There was a progressive decline in pVO2 with increasing severity of CHD (p = 0.001). </w:t>
      </w:r>
    </w:p>
    <w:p w14:paraId="60AD07D7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b/>
          <w:bCs/>
          <w:color w:val="000000"/>
          <w:sz w:val="22"/>
          <w:szCs w:val="22"/>
          <w:u w:val="single"/>
        </w:rPr>
      </w:pPr>
    </w:p>
    <w:p w14:paraId="6912ACC1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color w:val="000000"/>
          <w:sz w:val="22"/>
          <w:szCs w:val="22"/>
        </w:rPr>
        <w:t xml:space="preserve">There was a strong negative correlation between functional class and pVO2, with a progressive decline from functional Class I to III (r = ¡0.48; p 0.0001). About ¼  of patients had pVO2 &lt;20ml/kg/min and there was an overlap in pVO2 in each NYHA functional class. </w:t>
      </w:r>
    </w:p>
    <w:p w14:paraId="0C7A464D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</w:p>
    <w:p w14:paraId="49E7B7D0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color w:val="000000"/>
          <w:sz w:val="22"/>
          <w:szCs w:val="22"/>
        </w:rPr>
        <w:t>However, 75% of NYHA class III had pVO2 &lt;20 ml/kg/min compared with 10% in NYHA class I. Patients in functional class III had a markedly reduced pVO2 of 16.8 ± 4.5ml/kg/ min compared with 26.6 ± 6.1 ml/kg/min in class I (p = 0.0002).</w:t>
      </w:r>
      <w:r w:rsidRPr="00EC291D">
        <w:rPr>
          <w:rFonts w:cstheme="minorHAnsi"/>
          <w:sz w:val="22"/>
          <w:szCs w:val="22"/>
        </w:rPr>
        <w:t>There was no significant difference in pVO2</w:t>
      </w:r>
      <w:r w:rsidRPr="00EC291D">
        <w:rPr>
          <w:rFonts w:cstheme="minorHAnsi"/>
          <w:color w:val="000000"/>
          <w:sz w:val="22"/>
          <w:szCs w:val="22"/>
        </w:rPr>
        <w:t xml:space="preserve"> </w:t>
      </w:r>
      <w:r w:rsidRPr="00EC291D">
        <w:rPr>
          <w:rFonts w:cstheme="minorHAnsi"/>
          <w:sz w:val="22"/>
          <w:szCs w:val="22"/>
        </w:rPr>
        <w:t>between NYHA class II and III (p = 0.09), whereas the difference between NYHA class I and II and Class I and III</w:t>
      </w:r>
      <w:r w:rsidRPr="00EC291D">
        <w:rPr>
          <w:rFonts w:cstheme="minorHAnsi"/>
          <w:color w:val="000000"/>
          <w:sz w:val="22"/>
          <w:szCs w:val="22"/>
        </w:rPr>
        <w:t xml:space="preserve"> </w:t>
      </w:r>
      <w:r w:rsidRPr="00EC291D">
        <w:rPr>
          <w:rFonts w:cstheme="minorHAnsi"/>
          <w:sz w:val="22"/>
          <w:szCs w:val="22"/>
        </w:rPr>
        <w:t>are significant (p &lt;0.004 and p &lt;0.00002 respectively.</w:t>
      </w:r>
    </w:p>
    <w:p w14:paraId="5983771C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37D5121" w14:textId="77777777" w:rsidR="005E2440" w:rsidRPr="00EC291D" w:rsidRDefault="005E2440" w:rsidP="005E2440">
      <w:pPr>
        <w:autoSpaceDE w:val="0"/>
        <w:autoSpaceDN w:val="0"/>
        <w:adjustRightInd w:val="0"/>
        <w:ind w:left="1440"/>
        <w:rPr>
          <w:rFonts w:cstheme="minorHAnsi"/>
          <w:color w:val="000000"/>
        </w:rPr>
      </w:pPr>
    </w:p>
    <w:p w14:paraId="199E1E4E" w14:textId="77777777" w:rsidR="005E2440" w:rsidRPr="00EC291D" w:rsidRDefault="005E2440" w:rsidP="005E2440">
      <w:pPr>
        <w:autoSpaceDE w:val="0"/>
        <w:autoSpaceDN w:val="0"/>
        <w:adjustRightInd w:val="0"/>
        <w:ind w:left="1440"/>
        <w:jc w:val="center"/>
        <w:rPr>
          <w:rFonts w:cstheme="minorHAnsi"/>
          <w:color w:val="000000"/>
        </w:rPr>
      </w:pPr>
      <w:r w:rsidRPr="00EC291D">
        <w:rPr>
          <w:rFonts w:cstheme="minorHAnsi"/>
          <w:noProof/>
          <w:color w:val="000000"/>
        </w:rPr>
        <w:lastRenderedPageBreak/>
        <w:drawing>
          <wp:inline distT="0" distB="0" distL="0" distR="0" wp14:anchorId="6940B3A5" wp14:editId="7238AC03">
            <wp:extent cx="3120390" cy="254173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25" cy="25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5C78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>Figure 1. Relation between Peak VO2 and NYHA class. (A) Spearman correlation between pVO2 and NYHA class, (B) frequency of distribution of pVO2, (C) Relative distribution with a cut-off value of pVO2 20 ml/kg/min, and (D) Box and whisker-plot demonstrating median and quartiles of pVO2 by NYHA class. NYHA = New York Heart Association.</w:t>
      </w:r>
    </w:p>
    <w:p w14:paraId="4FD14208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</w:p>
    <w:p w14:paraId="29DF0FF7" w14:textId="77777777" w:rsidR="005E2440" w:rsidRPr="00EC291D" w:rsidRDefault="005E2440" w:rsidP="00B905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b/>
          <w:bCs/>
          <w:color w:val="000000"/>
          <w:sz w:val="22"/>
          <w:szCs w:val="22"/>
          <w:u w:val="single"/>
        </w:rPr>
        <w:t xml:space="preserve">The VE/VCO2 slope </w:t>
      </w:r>
      <w:r w:rsidRPr="00EC291D">
        <w:rPr>
          <w:rFonts w:cstheme="minorHAnsi"/>
          <w:color w:val="000000"/>
          <w:sz w:val="22"/>
          <w:szCs w:val="22"/>
        </w:rPr>
        <w:t>in the overall study population was 31.7 ± 5.4. Patients in functional class III had the higher VE/VCO2 slopes compared with class I and II, but there was no significant correlation between NYHA class and VE/VCO2 slope (r = 0.14, p = 0.37).</w:t>
      </w:r>
    </w:p>
    <w:p w14:paraId="6D742F26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b/>
          <w:bCs/>
          <w:color w:val="000000"/>
          <w:sz w:val="22"/>
          <w:szCs w:val="22"/>
          <w:u w:val="single"/>
        </w:rPr>
      </w:pPr>
    </w:p>
    <w:p w14:paraId="1D41BC65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color w:val="000000"/>
          <w:sz w:val="22"/>
          <w:szCs w:val="22"/>
        </w:rPr>
        <w:t>The distribution of VE/VCO2 slope was within upper normal limits in functional class I patients, but one-fifth of these asymptomatic patients (20%) had an abnormal slope &gt; 34. Almost one half of patients in NYHA class II (42%) and III (50%) had a VE/VCO2 slope &gt; 34.There was no significant difference between NYHA class I and II (p = 0.071), or between Class II and III (p = 0.263), whereas VE/VCO2 was significantly different between Class I and III (p = 0.011).</w:t>
      </w:r>
    </w:p>
    <w:p w14:paraId="7DE51E44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59C72404" w14:textId="77777777" w:rsidR="005E2440" w:rsidRPr="00EC291D" w:rsidRDefault="005E2440" w:rsidP="005E2440">
      <w:pPr>
        <w:jc w:val="center"/>
        <w:rPr>
          <w:rFonts w:cstheme="minorHAnsi"/>
          <w:color w:val="000000"/>
        </w:rPr>
      </w:pPr>
      <w:r w:rsidRPr="00EC291D">
        <w:rPr>
          <w:rFonts w:cstheme="minorHAnsi"/>
          <w:noProof/>
          <w:color w:val="000000"/>
        </w:rPr>
        <w:lastRenderedPageBreak/>
        <w:drawing>
          <wp:inline distT="0" distB="0" distL="0" distR="0" wp14:anchorId="032BDE96" wp14:editId="4506DEC2">
            <wp:extent cx="3577590" cy="2969751"/>
            <wp:effectExtent l="0" t="0" r="381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27" cy="29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9D79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>Figure 2 Relation between VE/VCO2 slope and NYHA class. (A) Spearman correlation between VE/VCO2 and NYHA class, (B) frequency of distribution of VE/VCO2, (C) Relative distribution with a cut-off value of VE/VCO2 34, and (D) Box and whisker-plot demonstrating median and quartiles of VE/VCO2 by NYHA class. NYHA = New York Heart Association.</w:t>
      </w:r>
    </w:p>
    <w:p w14:paraId="504EF3A3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</w:p>
    <w:p w14:paraId="7FE59565" w14:textId="0F36FDE8" w:rsidR="00601D88" w:rsidRDefault="00601D88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4BB7773C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5A13416" w14:textId="77777777" w:rsidR="005E2440" w:rsidRPr="00EC291D" w:rsidRDefault="005E2440" w:rsidP="005E244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b/>
          <w:bCs/>
          <w:color w:val="000000"/>
          <w:sz w:val="22"/>
          <w:szCs w:val="22"/>
        </w:rPr>
        <w:t>The OUES</w:t>
      </w:r>
      <w:r w:rsidRPr="00EC291D">
        <w:rPr>
          <w:rFonts w:cstheme="minorHAnsi"/>
          <w:color w:val="000000"/>
          <w:sz w:val="22"/>
          <w:szCs w:val="22"/>
        </w:rPr>
        <w:t xml:space="preserve"> in the overall study population was 2,565 ± 825. There was a progressive decline in OUES with increasing severity of NYHA class (r = ¡0.35, p &lt;0.0001). Majority of ACHD patients had OUES &gt; 2000. There was no significant difference in OUES between NYHA class II and III (p = 0.158), whereas the difference between NYHA class I and II and Class I and III were significant (p &lt; 0.001).</w:t>
      </w:r>
    </w:p>
    <w:p w14:paraId="3457F527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D64A5BF" w14:textId="77777777" w:rsidR="005E2440" w:rsidRPr="00EC291D" w:rsidRDefault="005E2440" w:rsidP="005E2440">
      <w:pPr>
        <w:jc w:val="center"/>
        <w:rPr>
          <w:rFonts w:cstheme="minorHAnsi"/>
          <w:color w:val="000000"/>
        </w:rPr>
      </w:pPr>
      <w:r w:rsidRPr="00EC291D">
        <w:rPr>
          <w:rFonts w:cstheme="minorHAnsi"/>
          <w:noProof/>
          <w:color w:val="000000"/>
        </w:rPr>
        <w:drawing>
          <wp:inline distT="0" distB="0" distL="0" distR="0" wp14:anchorId="339C9025" wp14:editId="1852B9DB">
            <wp:extent cx="3446145" cy="2796558"/>
            <wp:effectExtent l="0" t="0" r="190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53" cy="28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C4B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>Figure 3. Relation between OUES slope and NYHA class. (A) Spearman correlation between OUES and NYHA class, (B) frequency of distribution of OUES, (C) Relative distribution with a cut-off value of OUES 2,000, and (D) Box and whisker-plot demonstrating median and quartiles of OUES by NYHA class. NYHA = New York Heart Association; OUES = O2 uptake efficient slope.</w:t>
      </w:r>
    </w:p>
    <w:p w14:paraId="2BDC5CCC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FE0D6C0" w14:textId="58661D59" w:rsidR="00601D88" w:rsidRDefault="00601D88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6080D664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F9B5905" w14:textId="77777777" w:rsidR="005E2440" w:rsidRPr="00EC291D" w:rsidRDefault="005E2440" w:rsidP="005E244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b/>
          <w:bCs/>
          <w:color w:val="000000"/>
          <w:sz w:val="22"/>
          <w:szCs w:val="22"/>
        </w:rPr>
        <w:t>The maximum DP</w:t>
      </w:r>
      <w:r w:rsidRPr="00EC291D">
        <w:rPr>
          <w:rFonts w:cstheme="minorHAnsi"/>
          <w:color w:val="000000"/>
          <w:sz w:val="22"/>
          <w:szCs w:val="22"/>
        </w:rPr>
        <w:t xml:space="preserve"> in the overall study population was 26,602 ± 6,127. There was a progressive decline in maximum DP with increasing NYHA functional class (r = ¡0.31, p &lt;0.0001). Majority of patients had DP &gt; 20,000.</w:t>
      </w:r>
    </w:p>
    <w:p w14:paraId="75B2E36A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</w:p>
    <w:p w14:paraId="6ACB481A" w14:textId="77777777" w:rsidR="005E2440" w:rsidRPr="00EC291D" w:rsidRDefault="005E2440" w:rsidP="005E2440">
      <w:pPr>
        <w:pStyle w:val="ListParagraph"/>
        <w:autoSpaceDE w:val="0"/>
        <w:autoSpaceDN w:val="0"/>
        <w:adjustRightInd w:val="0"/>
        <w:ind w:left="1080"/>
        <w:rPr>
          <w:rFonts w:cstheme="minorHAnsi"/>
          <w:color w:val="000000"/>
          <w:sz w:val="22"/>
          <w:szCs w:val="22"/>
        </w:rPr>
      </w:pPr>
      <w:r w:rsidRPr="00EC291D">
        <w:rPr>
          <w:rFonts w:cstheme="minorHAnsi"/>
          <w:color w:val="000000"/>
          <w:sz w:val="22"/>
          <w:szCs w:val="22"/>
        </w:rPr>
        <w:t xml:space="preserve"> There was no significant difference in maximum DP between NYHA class II and III (p = 0.749), whereas the difference between NYHA class I and II and Class I and III were significant (p &lt;0.001 and p&lt;0.05 respectively).</w:t>
      </w:r>
    </w:p>
    <w:p w14:paraId="1399EB2F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</w:p>
    <w:p w14:paraId="12E0268B" w14:textId="77777777" w:rsidR="005E2440" w:rsidRPr="00EC291D" w:rsidRDefault="005E2440" w:rsidP="005E2440">
      <w:pPr>
        <w:autoSpaceDE w:val="0"/>
        <w:autoSpaceDN w:val="0"/>
        <w:adjustRightInd w:val="0"/>
        <w:ind w:left="720"/>
        <w:jc w:val="center"/>
        <w:rPr>
          <w:rFonts w:cstheme="minorHAnsi"/>
          <w:color w:val="000000"/>
        </w:rPr>
      </w:pPr>
      <w:r w:rsidRPr="00EC291D">
        <w:rPr>
          <w:rFonts w:cstheme="minorHAnsi"/>
          <w:noProof/>
          <w:color w:val="000000"/>
        </w:rPr>
        <w:drawing>
          <wp:inline distT="0" distB="0" distL="0" distR="0" wp14:anchorId="38B0B4F1" wp14:editId="6E1A45BC">
            <wp:extent cx="2901556" cy="22688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9" cy="22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6C60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  <w:bookmarkStart w:id="0" w:name="_GoBack"/>
      <w:bookmarkEnd w:id="0"/>
      <w:r w:rsidRPr="00EC291D">
        <w:rPr>
          <w:rFonts w:cstheme="minorHAnsi"/>
        </w:rPr>
        <w:t>Figure 4. Relation between maximum double product and NYHA class. (A) Spearman correlation between double product (DP) and NYHA class, (B) frequency of distribution of DP, (C) Relative distribution with a cut-off value of DP 20,000, and (D) Box and whisker-plot demonstrating median and quartiles of DP by NYHA class. NYHA = New York Heart Association; OUES = O2 uptake efficient slope.</w:t>
      </w:r>
    </w:p>
    <w:p w14:paraId="00B51E18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  <w:color w:val="000000"/>
        </w:rPr>
      </w:pPr>
      <w:r w:rsidRPr="00EC291D">
        <w:rPr>
          <w:rFonts w:cstheme="minorHAnsi"/>
          <w:b/>
          <w:bCs/>
          <w:color w:val="000000"/>
          <w:u w:val="single"/>
        </w:rPr>
        <w:t>Conclusions:</w:t>
      </w:r>
      <w:r w:rsidRPr="00EC291D">
        <w:rPr>
          <w:rFonts w:cstheme="minorHAnsi"/>
          <w:color w:val="000000"/>
        </w:rPr>
        <w:t xml:space="preserve"> </w:t>
      </w:r>
    </w:p>
    <w:p w14:paraId="03B38D8E" w14:textId="77777777" w:rsidR="005E2440" w:rsidRPr="00EC291D" w:rsidRDefault="005E2440" w:rsidP="005E2440">
      <w:pPr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>NYHA functional class correlates with objective measures of CPET, however there is wide variability in measured exercise capacity in each NYHA classification. Therefore, whereas NYHA class of patients is a simple measure for assessment of functional status, CPET is an important tool to identify the source of exercise limitation in ACHD patients.</w:t>
      </w:r>
    </w:p>
    <w:p w14:paraId="1A4A3736" w14:textId="77777777" w:rsidR="001B2259" w:rsidRDefault="001B2259"/>
    <w:sectPr w:rsidR="001B2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E6BEE"/>
    <w:multiLevelType w:val="hybridMultilevel"/>
    <w:tmpl w:val="08B8E8AE"/>
    <w:lvl w:ilvl="0" w:tplc="F96E88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DE1903"/>
    <w:multiLevelType w:val="hybridMultilevel"/>
    <w:tmpl w:val="7F9CE8BA"/>
    <w:lvl w:ilvl="0" w:tplc="CD200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871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6B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2B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4C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E2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26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AD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62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A77221B"/>
    <w:multiLevelType w:val="hybridMultilevel"/>
    <w:tmpl w:val="35A6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40"/>
    <w:rsid w:val="001B2259"/>
    <w:rsid w:val="005C205F"/>
    <w:rsid w:val="005E2440"/>
    <w:rsid w:val="00601D88"/>
    <w:rsid w:val="00B90555"/>
    <w:rsid w:val="00D7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D9810"/>
  <w15:chartTrackingRefBased/>
  <w15:docId w15:val="{697A7B22-8F8D-493B-BCE2-F7E7B690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440"/>
  </w:style>
  <w:style w:type="paragraph" w:styleId="Heading1">
    <w:name w:val="heading 1"/>
    <w:basedOn w:val="Normal"/>
    <w:next w:val="Normal"/>
    <w:link w:val="Heading1Char"/>
    <w:uiPriority w:val="9"/>
    <w:qFormat/>
    <w:rsid w:val="005E24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4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5E2440"/>
    <w:rPr>
      <w:b/>
      <w:bCs/>
    </w:rPr>
  </w:style>
  <w:style w:type="paragraph" w:styleId="ListParagraph">
    <w:name w:val="List Paragraph"/>
    <w:basedOn w:val="Normal"/>
    <w:uiPriority w:val="34"/>
    <w:qFormat/>
    <w:rsid w:val="005E244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ncbi.nlm.nih.gov/pubmed?linkname=pubmed_pubmed&amp;from_uid=30954207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1041</Words>
  <Characters>5938</Characters>
  <Application>Microsoft Office Word</Application>
  <DocSecurity>0</DocSecurity>
  <Lines>49</Lines>
  <Paragraphs>13</Paragraphs>
  <ScaleCrop>false</ScaleCrop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Webb</dc:creator>
  <cp:keywords/>
  <dc:description/>
  <cp:lastModifiedBy>Gary Webb</cp:lastModifiedBy>
  <cp:revision>4</cp:revision>
  <dcterms:created xsi:type="dcterms:W3CDTF">2020-03-28T13:44:00Z</dcterms:created>
  <dcterms:modified xsi:type="dcterms:W3CDTF">2020-03-28T19:47:00Z</dcterms:modified>
</cp:coreProperties>
</file>