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F249A" w14:textId="77777777" w:rsidR="00506E16" w:rsidRPr="0058069D" w:rsidRDefault="00506E16" w:rsidP="00506E16">
      <w:pPr>
        <w:pStyle w:val="Heading1"/>
      </w:pPr>
      <w:r>
        <w:fldChar w:fldCharType="begin"/>
      </w:r>
      <w:r>
        <w:instrText xml:space="preserve"> HYPERLINK "https://www.ncbi.nlm.nih.gov/pubmed/31064677" </w:instrText>
      </w:r>
      <w:r>
        <w:fldChar w:fldCharType="separate"/>
      </w:r>
      <w:r w:rsidRPr="0058069D">
        <w:rPr>
          <w:rStyle w:val="Hyperlink"/>
          <w:highlight w:val="yellow"/>
        </w:rPr>
        <w:t xml:space="preserve">The Prognostic Value of Myocardial Deformation in Adult Patients With Corrected </w:t>
      </w:r>
      <w:r w:rsidRPr="0058069D">
        <w:rPr>
          <w:highlight w:val="yellow"/>
        </w:rPr>
        <w:t>Tetralogy of Fallot.</w:t>
      </w:r>
      <w:r>
        <w:rPr>
          <w:highlight w:val="yellow"/>
        </w:rPr>
        <w:fldChar w:fldCharType="end"/>
      </w:r>
    </w:p>
    <w:p w14:paraId="2A6C1ABD" w14:textId="77777777" w:rsidR="00506E16" w:rsidRPr="00EC291D" w:rsidRDefault="00506E16" w:rsidP="00506E16">
      <w:pPr>
        <w:pStyle w:val="desc"/>
        <w:shd w:val="clear" w:color="auto" w:fill="FFFFFF"/>
        <w:spacing w:before="0" w:beforeAutospacing="0" w:after="0" w:afterAutospacing="0"/>
        <w:rPr>
          <w:rFonts w:asciiTheme="minorHAnsi" w:hAnsiTheme="minorHAnsi" w:cstheme="minorHAnsi"/>
          <w:color w:val="000000"/>
          <w:sz w:val="22"/>
          <w:szCs w:val="22"/>
        </w:rPr>
      </w:pPr>
      <w:r w:rsidRPr="00EC291D">
        <w:rPr>
          <w:rFonts w:asciiTheme="minorHAnsi" w:hAnsiTheme="minorHAnsi" w:cstheme="minorHAnsi"/>
          <w:color w:val="000000"/>
          <w:sz w:val="22"/>
          <w:szCs w:val="22"/>
        </w:rPr>
        <w:t xml:space="preserve">van </w:t>
      </w:r>
      <w:proofErr w:type="spellStart"/>
      <w:r w:rsidRPr="00EC291D">
        <w:rPr>
          <w:rFonts w:asciiTheme="minorHAnsi" w:hAnsiTheme="minorHAnsi" w:cstheme="minorHAnsi"/>
          <w:color w:val="000000"/>
          <w:sz w:val="22"/>
          <w:szCs w:val="22"/>
        </w:rPr>
        <w:t>Grootel</w:t>
      </w:r>
      <w:proofErr w:type="spellEnd"/>
      <w:r w:rsidRPr="00EC291D">
        <w:rPr>
          <w:rFonts w:asciiTheme="minorHAnsi" w:hAnsiTheme="minorHAnsi" w:cstheme="minorHAnsi"/>
          <w:color w:val="000000"/>
          <w:sz w:val="22"/>
          <w:szCs w:val="22"/>
        </w:rPr>
        <w:t xml:space="preserve"> RWJ, van den Bosch AE, </w:t>
      </w:r>
      <w:proofErr w:type="spellStart"/>
      <w:r w:rsidRPr="00EC291D">
        <w:rPr>
          <w:rFonts w:asciiTheme="minorHAnsi" w:hAnsiTheme="minorHAnsi" w:cstheme="minorHAnsi"/>
          <w:color w:val="000000"/>
          <w:sz w:val="22"/>
          <w:szCs w:val="22"/>
        </w:rPr>
        <w:t>Baggen</w:t>
      </w:r>
      <w:proofErr w:type="spellEnd"/>
      <w:r w:rsidRPr="00EC291D">
        <w:rPr>
          <w:rFonts w:asciiTheme="minorHAnsi" w:hAnsiTheme="minorHAnsi" w:cstheme="minorHAnsi"/>
          <w:color w:val="000000"/>
          <w:sz w:val="22"/>
          <w:szCs w:val="22"/>
        </w:rPr>
        <w:t xml:space="preserve"> VJM, </w:t>
      </w:r>
      <w:proofErr w:type="spellStart"/>
      <w:r w:rsidRPr="00EC291D">
        <w:rPr>
          <w:rFonts w:asciiTheme="minorHAnsi" w:hAnsiTheme="minorHAnsi" w:cstheme="minorHAnsi"/>
          <w:color w:val="000000"/>
          <w:sz w:val="22"/>
          <w:szCs w:val="22"/>
        </w:rPr>
        <w:t>Menting</w:t>
      </w:r>
      <w:proofErr w:type="spellEnd"/>
      <w:r w:rsidRPr="00EC291D">
        <w:rPr>
          <w:rFonts w:asciiTheme="minorHAnsi" w:hAnsiTheme="minorHAnsi" w:cstheme="minorHAnsi"/>
          <w:color w:val="000000"/>
          <w:sz w:val="22"/>
          <w:szCs w:val="22"/>
        </w:rPr>
        <w:t> ME, </w:t>
      </w:r>
      <w:proofErr w:type="spellStart"/>
      <w:r w:rsidRPr="00EC291D">
        <w:rPr>
          <w:rFonts w:asciiTheme="minorHAnsi" w:hAnsiTheme="minorHAnsi" w:cstheme="minorHAnsi"/>
          <w:color w:val="000000"/>
          <w:sz w:val="22"/>
          <w:szCs w:val="22"/>
        </w:rPr>
        <w:t>Baart</w:t>
      </w:r>
      <w:proofErr w:type="spellEnd"/>
      <w:r w:rsidRPr="00EC291D">
        <w:rPr>
          <w:rFonts w:asciiTheme="minorHAnsi" w:hAnsiTheme="minorHAnsi" w:cstheme="minorHAnsi"/>
          <w:color w:val="000000"/>
          <w:sz w:val="22"/>
          <w:szCs w:val="22"/>
        </w:rPr>
        <w:t xml:space="preserve"> SJ, </w:t>
      </w:r>
      <w:proofErr w:type="spellStart"/>
      <w:r w:rsidRPr="00EC291D">
        <w:rPr>
          <w:rFonts w:asciiTheme="minorHAnsi" w:hAnsiTheme="minorHAnsi" w:cstheme="minorHAnsi"/>
          <w:color w:val="000000"/>
          <w:sz w:val="22"/>
          <w:szCs w:val="22"/>
        </w:rPr>
        <w:t>Cuypers</w:t>
      </w:r>
      <w:proofErr w:type="spellEnd"/>
      <w:r w:rsidRPr="00EC291D">
        <w:rPr>
          <w:rFonts w:asciiTheme="minorHAnsi" w:hAnsiTheme="minorHAnsi" w:cstheme="minorHAnsi"/>
          <w:color w:val="000000"/>
          <w:sz w:val="22"/>
          <w:szCs w:val="22"/>
        </w:rPr>
        <w:t xml:space="preserve"> JAAE, </w:t>
      </w:r>
      <w:proofErr w:type="spellStart"/>
      <w:r w:rsidRPr="00EC291D">
        <w:rPr>
          <w:rFonts w:asciiTheme="minorHAnsi" w:hAnsiTheme="minorHAnsi" w:cstheme="minorHAnsi"/>
          <w:color w:val="000000"/>
          <w:sz w:val="22"/>
          <w:szCs w:val="22"/>
        </w:rPr>
        <w:t>Witsenburg</w:t>
      </w:r>
      <w:proofErr w:type="spellEnd"/>
      <w:r w:rsidRPr="00EC291D">
        <w:rPr>
          <w:rFonts w:asciiTheme="minorHAnsi" w:hAnsiTheme="minorHAnsi" w:cstheme="minorHAnsi"/>
          <w:color w:val="000000"/>
          <w:sz w:val="22"/>
          <w:szCs w:val="22"/>
        </w:rPr>
        <w:t xml:space="preserve"> M, </w:t>
      </w:r>
      <w:proofErr w:type="spellStart"/>
      <w:r w:rsidRPr="00EC291D">
        <w:rPr>
          <w:rFonts w:asciiTheme="minorHAnsi" w:hAnsiTheme="minorHAnsi" w:cstheme="minorHAnsi"/>
          <w:color w:val="000000"/>
          <w:sz w:val="22"/>
          <w:szCs w:val="22"/>
        </w:rPr>
        <w:t>Roos-Hesselink</w:t>
      </w:r>
      <w:proofErr w:type="spellEnd"/>
      <w:r w:rsidRPr="00EC291D">
        <w:rPr>
          <w:rFonts w:asciiTheme="minorHAnsi" w:hAnsiTheme="minorHAnsi" w:cstheme="minorHAnsi"/>
          <w:color w:val="000000"/>
          <w:sz w:val="22"/>
          <w:szCs w:val="22"/>
        </w:rPr>
        <w:t xml:space="preserve"> JW.</w:t>
      </w:r>
    </w:p>
    <w:p w14:paraId="104A82A1" w14:textId="77777777" w:rsidR="00506E16" w:rsidRPr="00EC291D" w:rsidRDefault="00506E16" w:rsidP="00506E16">
      <w:pPr>
        <w:pStyle w:val="details"/>
        <w:shd w:val="clear" w:color="auto" w:fill="FFFFFF"/>
        <w:spacing w:before="0" w:beforeAutospacing="0" w:after="0" w:afterAutospacing="0"/>
        <w:rPr>
          <w:rFonts w:asciiTheme="minorHAnsi" w:hAnsiTheme="minorHAnsi" w:cstheme="minorHAnsi"/>
          <w:color w:val="000000"/>
          <w:sz w:val="22"/>
          <w:szCs w:val="22"/>
        </w:rPr>
      </w:pPr>
      <w:r w:rsidRPr="00EC291D">
        <w:rPr>
          <w:rStyle w:val="jrnl"/>
          <w:rFonts w:asciiTheme="minorHAnsi" w:hAnsiTheme="minorHAnsi" w:cstheme="minorHAnsi"/>
          <w:color w:val="000000"/>
          <w:sz w:val="22"/>
          <w:szCs w:val="22"/>
        </w:rPr>
        <w:t xml:space="preserve">J Am Soc </w:t>
      </w:r>
      <w:proofErr w:type="spellStart"/>
      <w:r w:rsidRPr="00EC291D">
        <w:rPr>
          <w:rStyle w:val="jrnl"/>
          <w:rFonts w:asciiTheme="minorHAnsi" w:hAnsiTheme="minorHAnsi" w:cstheme="minorHAnsi"/>
          <w:color w:val="000000"/>
          <w:sz w:val="22"/>
          <w:szCs w:val="22"/>
        </w:rPr>
        <w:t>Echocardiogr</w:t>
      </w:r>
      <w:proofErr w:type="spellEnd"/>
      <w:r w:rsidRPr="00EC291D">
        <w:rPr>
          <w:rFonts w:asciiTheme="minorHAnsi" w:hAnsiTheme="minorHAnsi" w:cstheme="minorHAnsi"/>
          <w:color w:val="000000"/>
          <w:sz w:val="22"/>
          <w:szCs w:val="22"/>
        </w:rPr>
        <w:t>. 2019 Jul;32(7):866-875.e2. doi: 10.1016/j.echo.2019.03.014. Epub 2019 May 4.</w:t>
      </w:r>
    </w:p>
    <w:p w14:paraId="586644BC" w14:textId="77777777" w:rsidR="00C919D6" w:rsidRDefault="00506E16" w:rsidP="00C919D6">
      <w:pPr>
        <w:shd w:val="clear" w:color="auto" w:fill="FFFFFF"/>
        <w:spacing w:line="336" w:lineRule="atLeast"/>
        <w:ind w:right="225"/>
        <w:rPr>
          <w:rFonts w:cstheme="minorHAnsi"/>
          <w:color w:val="575757"/>
        </w:rPr>
      </w:pPr>
      <w:r w:rsidRPr="00EC291D">
        <w:rPr>
          <w:rFonts w:cstheme="minorHAnsi"/>
          <w:color w:val="575757"/>
        </w:rPr>
        <w:t>PMID:  31064677</w:t>
      </w:r>
    </w:p>
    <w:p w14:paraId="3A9DA00C" w14:textId="3FB9DD29" w:rsidR="00506E16" w:rsidRPr="00EC291D" w:rsidRDefault="004D0D77" w:rsidP="00C919D6">
      <w:pPr>
        <w:shd w:val="clear" w:color="auto" w:fill="FFFFFF"/>
        <w:spacing w:line="336" w:lineRule="atLeast"/>
        <w:ind w:right="225"/>
        <w:rPr>
          <w:rFonts w:cstheme="minorHAnsi"/>
          <w:color w:val="000000"/>
        </w:rPr>
      </w:pPr>
      <w:hyperlink r:id="rId5" w:history="1">
        <w:r w:rsidR="00506E16" w:rsidRPr="00EC291D">
          <w:rPr>
            <w:rStyle w:val="Hyperlink"/>
            <w:rFonts w:cstheme="minorHAnsi"/>
            <w:color w:val="6666AA"/>
          </w:rPr>
          <w:t>Similar articles</w:t>
        </w:r>
      </w:hyperlink>
    </w:p>
    <w:p w14:paraId="4C11C8AC" w14:textId="77777777" w:rsidR="00506E16" w:rsidRPr="00EC291D" w:rsidRDefault="00506E16" w:rsidP="00506E16">
      <w:pPr>
        <w:outlineLvl w:val="0"/>
        <w:rPr>
          <w:rFonts w:cstheme="minorHAnsi"/>
          <w:rtl/>
        </w:rPr>
      </w:pPr>
    </w:p>
    <w:p w14:paraId="614C3FEE" w14:textId="77777777" w:rsidR="00506E16" w:rsidRPr="001C1044" w:rsidRDefault="00506E16" w:rsidP="00506E16">
      <w:pPr>
        <w:rPr>
          <w:b/>
          <w:bCs/>
        </w:rPr>
      </w:pPr>
      <w:r w:rsidRPr="001C1044">
        <w:rPr>
          <w:b/>
          <w:bCs/>
        </w:rPr>
        <w:t>Take Home Points:</w:t>
      </w:r>
    </w:p>
    <w:p w14:paraId="453D784F" w14:textId="77777777" w:rsidR="00506E16" w:rsidRPr="00EC291D" w:rsidRDefault="00506E16" w:rsidP="00506E16">
      <w:pPr>
        <w:numPr>
          <w:ilvl w:val="0"/>
          <w:numId w:val="4"/>
        </w:numPr>
        <w:autoSpaceDE w:val="0"/>
        <w:autoSpaceDN w:val="0"/>
        <w:adjustRightInd w:val="0"/>
        <w:spacing w:line="240" w:lineRule="auto"/>
        <w:rPr>
          <w:rFonts w:cstheme="minorHAnsi"/>
          <w:color w:val="000000"/>
        </w:rPr>
      </w:pPr>
      <w:r w:rsidRPr="00EC291D">
        <w:rPr>
          <w:rFonts w:cstheme="minorHAnsi"/>
          <w:color w:val="000000"/>
        </w:rPr>
        <w:t xml:space="preserve">There is a clear role for strain analysis in adult patients with repaired </w:t>
      </w:r>
      <w:proofErr w:type="spellStart"/>
      <w:r w:rsidRPr="00EC291D">
        <w:rPr>
          <w:rFonts w:cstheme="minorHAnsi"/>
          <w:color w:val="000000"/>
        </w:rPr>
        <w:t>ToF</w:t>
      </w:r>
      <w:proofErr w:type="spellEnd"/>
      <w:r w:rsidRPr="00EC291D">
        <w:rPr>
          <w:rFonts w:cstheme="minorHAnsi"/>
          <w:color w:val="000000"/>
        </w:rPr>
        <w:t xml:space="preserve">. </w:t>
      </w:r>
    </w:p>
    <w:p w14:paraId="623D4949" w14:textId="77777777" w:rsidR="00506E16" w:rsidRPr="00EC291D" w:rsidRDefault="00506E16" w:rsidP="00506E16">
      <w:pPr>
        <w:numPr>
          <w:ilvl w:val="0"/>
          <w:numId w:val="4"/>
        </w:numPr>
        <w:autoSpaceDE w:val="0"/>
        <w:autoSpaceDN w:val="0"/>
        <w:adjustRightInd w:val="0"/>
        <w:spacing w:line="240" w:lineRule="auto"/>
        <w:rPr>
          <w:rFonts w:cstheme="minorHAnsi"/>
          <w:color w:val="000000"/>
        </w:rPr>
      </w:pPr>
      <w:r w:rsidRPr="00EC291D">
        <w:rPr>
          <w:rFonts w:cstheme="minorHAnsi"/>
          <w:color w:val="000000"/>
        </w:rPr>
        <w:t xml:space="preserve">Reduced myocardial deformation parameters, including RV longitudinal strain and LV apical rotation, are associated with worse outcomes in clinically stable patients with repaired </w:t>
      </w:r>
      <w:proofErr w:type="spellStart"/>
      <w:r w:rsidRPr="00EC291D">
        <w:rPr>
          <w:rFonts w:cstheme="minorHAnsi"/>
          <w:color w:val="000000"/>
        </w:rPr>
        <w:t>ToF</w:t>
      </w:r>
      <w:proofErr w:type="spellEnd"/>
      <w:r w:rsidRPr="00EC291D">
        <w:rPr>
          <w:rFonts w:cstheme="minorHAnsi"/>
          <w:color w:val="000000"/>
        </w:rPr>
        <w:t xml:space="preserve">, independent of currently known markers. </w:t>
      </w:r>
    </w:p>
    <w:p w14:paraId="64316682" w14:textId="77777777" w:rsidR="00506E16" w:rsidRPr="00EC291D" w:rsidRDefault="00506E16" w:rsidP="00506E16">
      <w:pPr>
        <w:numPr>
          <w:ilvl w:val="0"/>
          <w:numId w:val="4"/>
        </w:numPr>
        <w:autoSpaceDE w:val="0"/>
        <w:autoSpaceDN w:val="0"/>
        <w:adjustRightInd w:val="0"/>
        <w:spacing w:line="240" w:lineRule="auto"/>
        <w:rPr>
          <w:rFonts w:cstheme="minorHAnsi"/>
          <w:color w:val="000000"/>
        </w:rPr>
      </w:pPr>
      <w:r w:rsidRPr="00EC291D">
        <w:rPr>
          <w:rFonts w:cstheme="minorHAnsi"/>
          <w:color w:val="000000"/>
        </w:rPr>
        <w:t>To enhance risk stratification, myocardial deformation imaging should be considered as an additional tool in routine clinical follow-up, but not to replace currently used strategies.</w:t>
      </w:r>
    </w:p>
    <w:p w14:paraId="56368622" w14:textId="77777777" w:rsidR="00506E16" w:rsidRPr="00EC291D" w:rsidRDefault="00506E16" w:rsidP="00506E16">
      <w:pPr>
        <w:autoSpaceDE w:val="0"/>
        <w:autoSpaceDN w:val="0"/>
        <w:adjustRightInd w:val="0"/>
        <w:rPr>
          <w:rFonts w:cstheme="minorHAnsi"/>
        </w:rPr>
      </w:pPr>
      <w:r>
        <w:rPr>
          <w:noProof/>
        </w:rPr>
        <w:drawing>
          <wp:inline distT="0" distB="0" distL="0" distR="0" wp14:anchorId="38598AF8" wp14:editId="5E35209D">
            <wp:extent cx="1987550" cy="3411325"/>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6">
                      <a:extLst>
                        <a:ext uri="{28A0092B-C50C-407E-A947-70E740481C1C}">
                          <a14:useLocalDpi xmlns:a14="http://schemas.microsoft.com/office/drawing/2010/main" val="0"/>
                        </a:ext>
                      </a:extLst>
                    </a:blip>
                    <a:srcRect l="11890" t="17426" r="-222" b="173"/>
                    <a:stretch/>
                  </pic:blipFill>
                  <pic:spPr bwMode="auto">
                    <a:xfrm>
                      <a:off x="0" y="0"/>
                      <a:ext cx="2000198" cy="3433034"/>
                    </a:xfrm>
                    <a:prstGeom prst="rect">
                      <a:avLst/>
                    </a:prstGeom>
                    <a:noFill/>
                    <a:ln>
                      <a:noFill/>
                    </a:ln>
                    <a:extLst>
                      <a:ext uri="{53640926-AAD7-44D8-BBD7-CCE9431645EC}">
                        <a14:shadowObscured xmlns:a14="http://schemas.microsoft.com/office/drawing/2010/main"/>
                      </a:ext>
                    </a:extLst>
                  </pic:spPr>
                </pic:pic>
              </a:graphicData>
            </a:graphic>
          </wp:inline>
        </w:drawing>
      </w:r>
    </w:p>
    <w:p w14:paraId="04C49854" w14:textId="77777777" w:rsidR="00506E16" w:rsidRPr="001C1044" w:rsidRDefault="00506E16" w:rsidP="00506E16">
      <w:pPr>
        <w:rPr>
          <w:b/>
          <w:bCs/>
        </w:rPr>
      </w:pPr>
      <w:r w:rsidRPr="001C1044">
        <w:rPr>
          <w:b/>
          <w:bCs/>
        </w:rPr>
        <w:t xml:space="preserve">Commentary by Dr. Soha Romeih (Aswan, Egypt), section editor </w:t>
      </w:r>
      <w:r w:rsidRPr="001C1044">
        <w:rPr>
          <w:rStyle w:val="Strong"/>
          <w:rFonts w:cstheme="minorHAnsi"/>
          <w:i/>
          <w:iCs/>
        </w:rPr>
        <w:t>of ACHD Journal Watch</w:t>
      </w:r>
      <w:r w:rsidRPr="001C1044">
        <w:rPr>
          <w:b/>
          <w:bCs/>
        </w:rPr>
        <w:t>:</w:t>
      </w:r>
    </w:p>
    <w:p w14:paraId="7D2811D3" w14:textId="643EFA29" w:rsidR="00506E16" w:rsidRPr="00EC291D" w:rsidRDefault="00506E16" w:rsidP="00C919D6">
      <w:pPr>
        <w:autoSpaceDE w:val="0"/>
        <w:autoSpaceDN w:val="0"/>
        <w:adjustRightInd w:val="0"/>
        <w:rPr>
          <w:rFonts w:cstheme="minorHAnsi"/>
          <w:color w:val="000000"/>
        </w:rPr>
      </w:pPr>
      <w:r w:rsidRPr="00EC291D">
        <w:rPr>
          <w:rFonts w:cstheme="minorHAnsi"/>
          <w:color w:val="000000"/>
        </w:rPr>
        <w:t xml:space="preserve">van </w:t>
      </w:r>
      <w:proofErr w:type="spellStart"/>
      <w:r w:rsidRPr="00EC291D">
        <w:rPr>
          <w:rFonts w:cstheme="minorHAnsi"/>
          <w:color w:val="000000"/>
        </w:rPr>
        <w:t>Grootel</w:t>
      </w:r>
      <w:proofErr w:type="spellEnd"/>
      <w:r w:rsidRPr="00EC291D">
        <w:rPr>
          <w:rFonts w:cstheme="minorHAnsi"/>
          <w:color w:val="000000"/>
        </w:rPr>
        <w:t xml:space="preserve"> et al studied the myocardial deformation by echocardiography speckle-tracking analysis of both ventricles in asymptomatic adults with repaired </w:t>
      </w:r>
      <w:proofErr w:type="spellStart"/>
      <w:r w:rsidRPr="00EC291D">
        <w:rPr>
          <w:rFonts w:cstheme="minorHAnsi"/>
          <w:color w:val="000000"/>
        </w:rPr>
        <w:t>ToF</w:t>
      </w:r>
      <w:proofErr w:type="spellEnd"/>
      <w:r w:rsidRPr="00EC291D">
        <w:rPr>
          <w:rFonts w:cstheme="minorHAnsi"/>
          <w:color w:val="000000"/>
        </w:rPr>
        <w:t xml:space="preserve"> and its relationship with adverse outcome. This is a prospective observational study that included all clinically stable patients with repaired </w:t>
      </w:r>
      <w:proofErr w:type="spellStart"/>
      <w:r w:rsidRPr="00EC291D">
        <w:rPr>
          <w:rFonts w:cstheme="minorHAnsi"/>
          <w:color w:val="000000"/>
        </w:rPr>
        <w:t>ToF</w:t>
      </w:r>
      <w:proofErr w:type="spellEnd"/>
      <w:r w:rsidRPr="00EC291D">
        <w:rPr>
          <w:rFonts w:cstheme="minorHAnsi"/>
          <w:color w:val="000000"/>
        </w:rPr>
        <w:t xml:space="preserve">, </w:t>
      </w:r>
      <w:r w:rsidRPr="00EC291D">
        <w:rPr>
          <w:rFonts w:cstheme="minorHAnsi"/>
          <w:color w:val="000000"/>
        </w:rPr>
        <w:lastRenderedPageBreak/>
        <w:t>visiting the outpatient clinic between 2011 and 2013. Exclusion criteria were age &lt; 18 years, pregnancy, and inability to understand and sign informed consent forms; patients were also excluded in case of poor echocardiographic image quality.</w:t>
      </w:r>
    </w:p>
    <w:p w14:paraId="0540BF45" w14:textId="77777777" w:rsidR="00506E16" w:rsidRPr="00EC291D" w:rsidRDefault="00506E16" w:rsidP="00506E16">
      <w:pPr>
        <w:numPr>
          <w:ilvl w:val="0"/>
          <w:numId w:val="1"/>
        </w:numPr>
        <w:autoSpaceDE w:val="0"/>
        <w:autoSpaceDN w:val="0"/>
        <w:adjustRightInd w:val="0"/>
        <w:spacing w:line="240" w:lineRule="auto"/>
        <w:rPr>
          <w:rFonts w:cstheme="minorHAnsi"/>
          <w:color w:val="000000"/>
        </w:rPr>
      </w:pPr>
      <w:r w:rsidRPr="00EC291D">
        <w:rPr>
          <w:rFonts w:cstheme="minorHAnsi"/>
          <w:b/>
          <w:bCs/>
          <w:i/>
          <w:iCs/>
          <w:color w:val="000000"/>
        </w:rPr>
        <w:t>Myocardial strain analysis included:</w:t>
      </w:r>
      <w:r w:rsidRPr="00EC291D">
        <w:rPr>
          <w:rFonts w:cstheme="minorHAnsi"/>
          <w:color w:val="000000"/>
        </w:rPr>
        <w:t xml:space="preserve"> </w:t>
      </w:r>
    </w:p>
    <w:p w14:paraId="1FF67809" w14:textId="77777777" w:rsidR="00506E16" w:rsidRPr="00EC291D" w:rsidRDefault="00506E16" w:rsidP="00506E16">
      <w:pPr>
        <w:autoSpaceDE w:val="0"/>
        <w:autoSpaceDN w:val="0"/>
        <w:adjustRightInd w:val="0"/>
        <w:ind w:left="1080"/>
        <w:rPr>
          <w:rFonts w:cstheme="minorHAnsi"/>
          <w:color w:val="000000"/>
        </w:rPr>
      </w:pPr>
      <w:r w:rsidRPr="00EC291D">
        <w:rPr>
          <w:rFonts w:cstheme="minorHAnsi"/>
          <w:b/>
          <w:bCs/>
          <w:color w:val="000000"/>
        </w:rPr>
        <w:t>1- The left ventricle</w:t>
      </w:r>
      <w:r w:rsidRPr="00EC291D">
        <w:rPr>
          <w:rFonts w:cstheme="minorHAnsi"/>
          <w:color w:val="000000"/>
        </w:rPr>
        <w:t xml:space="preserve"> was assessed according to the 17-segment model as stated in the guidelines for echocardiographic chamber quantification. The rotation at the basal and apical levels of the left ventricle was measured by applying speckle-tracking after identifying the endo- and epicardial borders in the basal and apical short-axis views.</w:t>
      </w:r>
    </w:p>
    <w:p w14:paraId="4D67AD10" w14:textId="77777777" w:rsidR="00506E16" w:rsidRPr="00EC291D" w:rsidRDefault="00506E16" w:rsidP="00506E16">
      <w:pPr>
        <w:autoSpaceDE w:val="0"/>
        <w:autoSpaceDN w:val="0"/>
        <w:adjustRightInd w:val="0"/>
        <w:ind w:left="1080"/>
        <w:rPr>
          <w:rFonts w:cstheme="minorHAnsi"/>
          <w:color w:val="000000"/>
        </w:rPr>
      </w:pPr>
      <w:r w:rsidRPr="00EC291D">
        <w:rPr>
          <w:rFonts w:cstheme="minorHAnsi"/>
          <w:color w:val="000000"/>
        </w:rPr>
        <w:t xml:space="preserve"> </w:t>
      </w:r>
      <w:r w:rsidRPr="00EC291D">
        <w:rPr>
          <w:rFonts w:cstheme="minorHAnsi"/>
          <w:b/>
          <w:bCs/>
          <w:color w:val="000000"/>
        </w:rPr>
        <w:t>2- RV systolic function</w:t>
      </w:r>
      <w:r w:rsidRPr="00EC291D">
        <w:rPr>
          <w:rFonts w:cstheme="minorHAnsi"/>
          <w:color w:val="000000"/>
        </w:rPr>
        <w:t xml:space="preserve"> was assessed by measuring RV longitudinal strain (LS) of the free wall. The software describes clockwise rotation as a positive value and counterclockwise rotation as a negative value. The peak apical rotation and basal rotation during systole was assessed. Twist was calculated and defined as the maximum value of the simultaneous difference between apical rotation and basal rotation (apical minus basal rotation) during systole.</w:t>
      </w:r>
    </w:p>
    <w:p w14:paraId="1D6716B5" w14:textId="77777777" w:rsidR="00506E16" w:rsidRPr="00EC291D" w:rsidRDefault="00506E16" w:rsidP="00506E16">
      <w:pPr>
        <w:autoSpaceDE w:val="0"/>
        <w:autoSpaceDN w:val="0"/>
        <w:adjustRightInd w:val="0"/>
        <w:ind w:left="1080"/>
        <w:rPr>
          <w:rFonts w:cstheme="minorHAnsi"/>
          <w:color w:val="000000"/>
        </w:rPr>
      </w:pPr>
      <w:r w:rsidRPr="00EC291D">
        <w:rPr>
          <w:rFonts w:cstheme="minorHAnsi"/>
          <w:bCs/>
          <w:color w:val="000000"/>
        </w:rPr>
        <w:t>Strain measurements were blinded.</w:t>
      </w:r>
    </w:p>
    <w:p w14:paraId="7D6C71D6" w14:textId="5F3C45D3" w:rsidR="00506E16" w:rsidRPr="00C919D6" w:rsidRDefault="00506E16" w:rsidP="00506E16">
      <w:pPr>
        <w:numPr>
          <w:ilvl w:val="0"/>
          <w:numId w:val="1"/>
        </w:numPr>
        <w:autoSpaceDE w:val="0"/>
        <w:autoSpaceDN w:val="0"/>
        <w:adjustRightInd w:val="0"/>
        <w:spacing w:line="240" w:lineRule="auto"/>
        <w:rPr>
          <w:rFonts w:cstheme="minorHAnsi"/>
          <w:b/>
          <w:bCs/>
          <w:color w:val="000000"/>
          <w:u w:val="single"/>
        </w:rPr>
      </w:pPr>
      <w:r w:rsidRPr="00C919D6">
        <w:rPr>
          <w:rFonts w:cstheme="minorHAnsi"/>
          <w:b/>
          <w:bCs/>
          <w:i/>
          <w:iCs/>
          <w:color w:val="000000"/>
        </w:rPr>
        <w:t>Definition and assessment of events:</w:t>
      </w:r>
      <w:r w:rsidRPr="00C919D6">
        <w:rPr>
          <w:rFonts w:cstheme="minorHAnsi"/>
          <w:color w:val="000000"/>
        </w:rPr>
        <w:t xml:space="preserve"> The primary endpoint was a composite of death or heart failure. Heart failure was defined as requiring changes in HF medication or hospital admission. The secondary endpoint was a supraventricular or ventricular arrhythmia (symptomatic and recorded or treated), hospitalization for cardiac reasons, or reintervention (both surgical and percutaneous). End points were manually tracked on a yearly basis. </w:t>
      </w:r>
    </w:p>
    <w:p w14:paraId="44580997" w14:textId="77777777" w:rsidR="00506E16" w:rsidRPr="00EC291D" w:rsidRDefault="00506E16" w:rsidP="00506E16">
      <w:pPr>
        <w:autoSpaceDE w:val="0"/>
        <w:autoSpaceDN w:val="0"/>
        <w:adjustRightInd w:val="0"/>
        <w:ind w:left="720"/>
        <w:rPr>
          <w:rFonts w:cstheme="minorHAnsi"/>
          <w:color w:val="000000"/>
        </w:rPr>
      </w:pPr>
      <w:r w:rsidRPr="00EC291D">
        <w:rPr>
          <w:rFonts w:cstheme="minorHAnsi"/>
          <w:b/>
          <w:bCs/>
          <w:color w:val="000000"/>
          <w:u w:val="single"/>
        </w:rPr>
        <w:t>Results:</w:t>
      </w:r>
    </w:p>
    <w:p w14:paraId="0074C099" w14:textId="77777777" w:rsidR="00506E16" w:rsidRPr="00EC291D" w:rsidRDefault="00506E16" w:rsidP="00506E16">
      <w:pPr>
        <w:numPr>
          <w:ilvl w:val="0"/>
          <w:numId w:val="1"/>
        </w:numPr>
        <w:autoSpaceDE w:val="0"/>
        <w:autoSpaceDN w:val="0"/>
        <w:adjustRightInd w:val="0"/>
        <w:spacing w:line="240" w:lineRule="auto"/>
        <w:rPr>
          <w:rFonts w:cstheme="minorHAnsi"/>
          <w:color w:val="000000"/>
        </w:rPr>
      </w:pPr>
      <w:r w:rsidRPr="00EC291D">
        <w:rPr>
          <w:rFonts w:cstheme="minorHAnsi"/>
          <w:color w:val="000000"/>
        </w:rPr>
        <w:t xml:space="preserve"> In total, 179 patients were eligible in the original cohort. Of these, 28 (16%) were excluded because of poor echocardiographic image quality. Of the 151 patients included, the median age was 34.6 years [IQR, 27.9–44.9 years] and  65.1% were men. The control group of 88 subjects had a median age of 31.2 years (IQR, 25.3–41.9 years), and 48 (54.5%) were men.</w:t>
      </w:r>
    </w:p>
    <w:p w14:paraId="1A0D5FC9" w14:textId="77777777" w:rsidR="00506E16" w:rsidRPr="00EC291D" w:rsidRDefault="00506E16" w:rsidP="00506E16">
      <w:pPr>
        <w:numPr>
          <w:ilvl w:val="0"/>
          <w:numId w:val="1"/>
        </w:numPr>
        <w:autoSpaceDE w:val="0"/>
        <w:autoSpaceDN w:val="0"/>
        <w:adjustRightInd w:val="0"/>
        <w:spacing w:line="240" w:lineRule="auto"/>
        <w:rPr>
          <w:rFonts w:cstheme="minorHAnsi"/>
          <w:color w:val="000000"/>
        </w:rPr>
      </w:pPr>
      <w:r w:rsidRPr="00EC291D">
        <w:rPr>
          <w:rFonts w:cstheme="minorHAnsi"/>
          <w:color w:val="000000"/>
        </w:rPr>
        <w:t>All patients had significantly lower myocardial deformation compared to controls (Figure 1)</w:t>
      </w:r>
    </w:p>
    <w:p w14:paraId="0E207053" w14:textId="77777777" w:rsidR="00506E16" w:rsidRPr="00EC291D" w:rsidRDefault="00506E16" w:rsidP="00506E16">
      <w:pPr>
        <w:tabs>
          <w:tab w:val="left" w:pos="9900"/>
        </w:tabs>
        <w:autoSpaceDE w:val="0"/>
        <w:autoSpaceDN w:val="0"/>
        <w:adjustRightInd w:val="0"/>
        <w:ind w:left="-450"/>
        <w:jc w:val="center"/>
        <w:rPr>
          <w:rFonts w:cstheme="minorHAnsi"/>
          <w:color w:val="000000"/>
        </w:rPr>
      </w:pPr>
      <w:r w:rsidRPr="00EC291D">
        <w:rPr>
          <w:rFonts w:cstheme="minorHAnsi"/>
          <w:noProof/>
          <w:color w:val="000000"/>
        </w:rPr>
        <w:lastRenderedPageBreak/>
        <w:drawing>
          <wp:inline distT="0" distB="0" distL="0" distR="0" wp14:anchorId="3730FCAE" wp14:editId="172DC478">
            <wp:extent cx="5705806" cy="3232150"/>
            <wp:effectExtent l="0" t="0" r="9525" b="6350"/>
            <wp:docPr id="63" name="Content Placeholder 3">
              <a:extLst xmlns:a="http://schemas.openxmlformats.org/drawingml/2006/main">
                <a:ext uri="{FF2B5EF4-FFF2-40B4-BE49-F238E27FC236}">
                  <a16:creationId xmlns:a16="http://schemas.microsoft.com/office/drawing/2014/main" id="{B593CB4D-BE73-485F-A5B6-6348039907F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B593CB4D-BE73-485F-A5B6-6348039907FE}"/>
                        </a:ext>
                      </a:extLst>
                    </pic:cNvPr>
                    <pic:cNvPicPr>
                      <a:picLocks noGrp="1" noChangeAspect="1"/>
                    </pic:cNvPicPr>
                  </pic:nvPicPr>
                  <pic:blipFill>
                    <a:blip r:embed="rId7"/>
                    <a:stretch>
                      <a:fillRect/>
                    </a:stretch>
                  </pic:blipFill>
                  <pic:spPr>
                    <a:xfrm>
                      <a:off x="0" y="0"/>
                      <a:ext cx="5769050" cy="3267975"/>
                    </a:xfrm>
                    <a:prstGeom prst="rect">
                      <a:avLst/>
                    </a:prstGeom>
                  </pic:spPr>
                </pic:pic>
              </a:graphicData>
            </a:graphic>
          </wp:inline>
        </w:drawing>
      </w:r>
    </w:p>
    <w:p w14:paraId="0D81D804" w14:textId="77777777" w:rsidR="00506E16" w:rsidRPr="00EC291D" w:rsidRDefault="00506E16" w:rsidP="00506E16">
      <w:pPr>
        <w:autoSpaceDE w:val="0"/>
        <w:autoSpaceDN w:val="0"/>
        <w:adjustRightInd w:val="0"/>
        <w:ind w:firstLine="360"/>
        <w:rPr>
          <w:rFonts w:cstheme="minorHAnsi"/>
          <w:color w:val="000000"/>
        </w:rPr>
      </w:pPr>
      <w:r w:rsidRPr="00EC291D">
        <w:rPr>
          <w:rFonts w:cstheme="minorHAnsi"/>
          <w:color w:val="000000"/>
        </w:rPr>
        <w:t xml:space="preserve"> </w:t>
      </w:r>
    </w:p>
    <w:p w14:paraId="4948C198" w14:textId="77777777" w:rsidR="00506E16" w:rsidRPr="00EC291D" w:rsidRDefault="00506E16" w:rsidP="00506E16">
      <w:pPr>
        <w:numPr>
          <w:ilvl w:val="0"/>
          <w:numId w:val="2"/>
        </w:numPr>
        <w:autoSpaceDE w:val="0"/>
        <w:autoSpaceDN w:val="0"/>
        <w:adjustRightInd w:val="0"/>
        <w:spacing w:after="0" w:line="240" w:lineRule="auto"/>
        <w:rPr>
          <w:rFonts w:cstheme="minorHAnsi"/>
          <w:color w:val="000000"/>
        </w:rPr>
      </w:pPr>
      <w:r w:rsidRPr="00EC291D">
        <w:rPr>
          <w:rFonts w:cstheme="minorHAnsi"/>
          <w:color w:val="000000"/>
        </w:rPr>
        <w:t xml:space="preserve">The patients with decreased LV GLS had larger LV end-systolic dimensions and volumes and lower LVEFs. RV free wall strain was significantly lower in patients with reduced LV GLS. (ventricular-ventricular interaction) There were no differences in functional valvular status. </w:t>
      </w:r>
    </w:p>
    <w:p w14:paraId="0737C5E4" w14:textId="77777777" w:rsidR="00506E16" w:rsidRPr="00EC291D" w:rsidRDefault="00506E16" w:rsidP="00506E16">
      <w:pPr>
        <w:autoSpaceDE w:val="0"/>
        <w:autoSpaceDN w:val="0"/>
        <w:adjustRightInd w:val="0"/>
        <w:ind w:firstLine="360"/>
        <w:rPr>
          <w:rFonts w:cstheme="minorHAnsi"/>
          <w:color w:val="000000"/>
        </w:rPr>
      </w:pPr>
    </w:p>
    <w:p w14:paraId="01AF7993" w14:textId="77777777" w:rsidR="00506E16" w:rsidRPr="00EC291D" w:rsidRDefault="00506E16" w:rsidP="00506E16">
      <w:pPr>
        <w:numPr>
          <w:ilvl w:val="0"/>
          <w:numId w:val="3"/>
        </w:numPr>
        <w:autoSpaceDE w:val="0"/>
        <w:autoSpaceDN w:val="0"/>
        <w:adjustRightInd w:val="0"/>
        <w:spacing w:after="0" w:line="240" w:lineRule="auto"/>
        <w:rPr>
          <w:rFonts w:cstheme="minorHAnsi"/>
          <w:color w:val="000000"/>
        </w:rPr>
      </w:pPr>
      <w:r w:rsidRPr="00EC291D">
        <w:rPr>
          <w:rFonts w:cstheme="minorHAnsi"/>
          <w:color w:val="000000"/>
        </w:rPr>
        <w:t>The primary and secondary endpoints occurred in 14 (9.3%) and 62 (41.1%) patients, respectively. Baseline RV free wall LS and LV GLS were significantly associated with the primary endpoint and also with the secondary endpoint.</w:t>
      </w:r>
    </w:p>
    <w:p w14:paraId="43D7A34A" w14:textId="77777777" w:rsidR="00506E16" w:rsidRPr="00EC291D" w:rsidRDefault="00506E16" w:rsidP="00506E16">
      <w:pPr>
        <w:autoSpaceDE w:val="0"/>
        <w:autoSpaceDN w:val="0"/>
        <w:adjustRightInd w:val="0"/>
        <w:ind w:left="720"/>
        <w:rPr>
          <w:rFonts w:cstheme="minorHAnsi"/>
          <w:color w:val="000000"/>
        </w:rPr>
      </w:pPr>
    </w:p>
    <w:p w14:paraId="42A03224" w14:textId="77777777" w:rsidR="00506E16" w:rsidRPr="00EC291D" w:rsidRDefault="00506E16" w:rsidP="00506E16">
      <w:pPr>
        <w:numPr>
          <w:ilvl w:val="0"/>
          <w:numId w:val="3"/>
        </w:numPr>
        <w:autoSpaceDE w:val="0"/>
        <w:autoSpaceDN w:val="0"/>
        <w:adjustRightInd w:val="0"/>
        <w:spacing w:after="0" w:line="240" w:lineRule="auto"/>
        <w:rPr>
          <w:rFonts w:cstheme="minorHAnsi"/>
          <w:color w:val="000000"/>
        </w:rPr>
      </w:pPr>
      <w:r w:rsidRPr="00EC291D">
        <w:rPr>
          <w:rFonts w:cstheme="minorHAnsi"/>
          <w:color w:val="000000"/>
        </w:rPr>
        <w:t>Survival was significantly better in patients with higher strain values with regard to both the primary and secondary endpoints. (Figure 2)</w:t>
      </w:r>
    </w:p>
    <w:p w14:paraId="16B05AE9" w14:textId="77777777" w:rsidR="00506E16" w:rsidRPr="00EC291D" w:rsidRDefault="00506E16" w:rsidP="00506E16">
      <w:pPr>
        <w:pStyle w:val="ListParagraph"/>
        <w:rPr>
          <w:rFonts w:cstheme="minorHAnsi"/>
          <w:color w:val="000000"/>
          <w:sz w:val="22"/>
          <w:szCs w:val="22"/>
        </w:rPr>
      </w:pPr>
    </w:p>
    <w:p w14:paraId="069C493B" w14:textId="77777777" w:rsidR="00506E16" w:rsidRPr="00EC291D" w:rsidRDefault="00506E16" w:rsidP="00C352AD">
      <w:pPr>
        <w:autoSpaceDE w:val="0"/>
        <w:autoSpaceDN w:val="0"/>
        <w:adjustRightInd w:val="0"/>
        <w:ind w:left="720"/>
        <w:jc w:val="center"/>
        <w:rPr>
          <w:rFonts w:cstheme="minorHAnsi"/>
          <w:color w:val="000000"/>
        </w:rPr>
      </w:pPr>
      <w:r w:rsidRPr="00EC291D">
        <w:rPr>
          <w:rFonts w:cstheme="minorHAnsi"/>
          <w:noProof/>
          <w:color w:val="000000"/>
        </w:rPr>
        <w:lastRenderedPageBreak/>
        <w:drawing>
          <wp:inline distT="0" distB="0" distL="0" distR="0" wp14:anchorId="40AC72DF" wp14:editId="3D59240A">
            <wp:extent cx="6239456" cy="4222750"/>
            <wp:effectExtent l="0" t="0" r="9525" b="6350"/>
            <wp:docPr id="64" name="Content Placeholder 3">
              <a:extLst xmlns:a="http://schemas.openxmlformats.org/drawingml/2006/main">
                <a:ext uri="{FF2B5EF4-FFF2-40B4-BE49-F238E27FC236}">
                  <a16:creationId xmlns:a16="http://schemas.microsoft.com/office/drawing/2014/main" id="{316700C2-C978-4759-82E4-6D6CF47A25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316700C2-C978-4759-82E4-6D6CF47A25AB}"/>
                        </a:ext>
                      </a:extLst>
                    </pic:cNvPr>
                    <pic:cNvPicPr>
                      <a:picLocks noChangeAspect="1"/>
                    </pic:cNvPicPr>
                  </pic:nvPicPr>
                  <pic:blipFill rotWithShape="1">
                    <a:blip r:embed="rId8"/>
                    <a:srcRect b="5767"/>
                    <a:stretch/>
                  </pic:blipFill>
                  <pic:spPr bwMode="auto">
                    <a:xfrm>
                      <a:off x="0" y="0"/>
                      <a:ext cx="6255378" cy="4233526"/>
                    </a:xfrm>
                    <a:prstGeom prst="rect">
                      <a:avLst/>
                    </a:prstGeom>
                    <a:ln>
                      <a:noFill/>
                    </a:ln>
                    <a:extLst>
                      <a:ext uri="{53640926-AAD7-44D8-BBD7-CCE9431645EC}">
                        <a14:shadowObscured xmlns:a14="http://schemas.microsoft.com/office/drawing/2010/main"/>
                      </a:ext>
                    </a:extLst>
                  </pic:spPr>
                </pic:pic>
              </a:graphicData>
            </a:graphic>
          </wp:inline>
        </w:drawing>
      </w:r>
    </w:p>
    <w:p w14:paraId="34B212D5" w14:textId="77777777" w:rsidR="00506E16" w:rsidRPr="00EC291D" w:rsidRDefault="00506E16" w:rsidP="00506E16">
      <w:pPr>
        <w:autoSpaceDE w:val="0"/>
        <w:autoSpaceDN w:val="0"/>
        <w:adjustRightInd w:val="0"/>
        <w:ind w:left="720"/>
        <w:rPr>
          <w:rFonts w:cstheme="minorHAnsi"/>
          <w:color w:val="000000"/>
        </w:rPr>
      </w:pPr>
    </w:p>
    <w:p w14:paraId="63F3318D" w14:textId="77777777" w:rsidR="00506E16" w:rsidRPr="00EC291D" w:rsidRDefault="00506E16" w:rsidP="00506E16">
      <w:pPr>
        <w:autoSpaceDE w:val="0"/>
        <w:autoSpaceDN w:val="0"/>
        <w:adjustRightInd w:val="0"/>
        <w:rPr>
          <w:rFonts w:cstheme="minorHAnsi"/>
          <w:color w:val="000000"/>
        </w:rPr>
      </w:pPr>
      <w:r w:rsidRPr="00EC291D">
        <w:rPr>
          <w:rFonts w:cstheme="minorHAnsi"/>
          <w:b/>
          <w:bCs/>
          <w:color w:val="000000"/>
          <w:u w:val="single"/>
        </w:rPr>
        <w:t>Conclusion:</w:t>
      </w:r>
      <w:r w:rsidRPr="00EC291D">
        <w:rPr>
          <w:rFonts w:cstheme="minorHAnsi"/>
          <w:color w:val="000000"/>
        </w:rPr>
        <w:t xml:space="preserve"> </w:t>
      </w:r>
    </w:p>
    <w:p w14:paraId="03C0CB10" w14:textId="77777777" w:rsidR="00506E16" w:rsidRPr="00EC291D" w:rsidRDefault="00506E16" w:rsidP="00506E16">
      <w:pPr>
        <w:autoSpaceDE w:val="0"/>
        <w:autoSpaceDN w:val="0"/>
        <w:adjustRightInd w:val="0"/>
        <w:rPr>
          <w:rFonts w:cstheme="minorHAnsi"/>
          <w:color w:val="000000"/>
        </w:rPr>
      </w:pPr>
      <w:r w:rsidRPr="00EC291D">
        <w:rPr>
          <w:rFonts w:cstheme="minorHAnsi"/>
          <w:color w:val="000000"/>
        </w:rPr>
        <w:t xml:space="preserve">This study shows that myocardial deformation is important in determining prognosis in patients with repaired </w:t>
      </w:r>
      <w:proofErr w:type="spellStart"/>
      <w:r w:rsidRPr="00EC291D">
        <w:rPr>
          <w:rFonts w:cstheme="minorHAnsi"/>
          <w:color w:val="000000"/>
        </w:rPr>
        <w:t>ToF</w:t>
      </w:r>
      <w:proofErr w:type="spellEnd"/>
      <w:r w:rsidRPr="00EC291D">
        <w:rPr>
          <w:rFonts w:cstheme="minorHAnsi"/>
          <w:color w:val="000000"/>
        </w:rPr>
        <w:t>.  Baseline longitudinal strain of either the left or right ventricle was significantly lower in patients who died or developed heart failure.</w:t>
      </w:r>
    </w:p>
    <w:p w14:paraId="163ADA50" w14:textId="77777777" w:rsidR="00506E16" w:rsidRPr="00EC291D" w:rsidRDefault="00506E16" w:rsidP="00506E16">
      <w:pPr>
        <w:autoSpaceDE w:val="0"/>
        <w:autoSpaceDN w:val="0"/>
        <w:adjustRightInd w:val="0"/>
        <w:rPr>
          <w:rFonts w:cstheme="minorHAnsi"/>
          <w:color w:val="000000"/>
        </w:rPr>
      </w:pPr>
      <w:r w:rsidRPr="00EC291D">
        <w:rPr>
          <w:rFonts w:cstheme="minorHAnsi"/>
          <w:color w:val="000000"/>
        </w:rPr>
        <w:t>Strikingly, apical rotation and NYHA functional class II were the only variables that were independently associated with the secondary endpoint in the multivariate model after correction for several clinical and echocardiographic variables known to be associated with outcome.</w:t>
      </w:r>
    </w:p>
    <w:p w14:paraId="2E5A2C06" w14:textId="77777777" w:rsidR="00506E16" w:rsidRPr="00EC291D" w:rsidRDefault="00506E16" w:rsidP="00506E16">
      <w:pPr>
        <w:autoSpaceDE w:val="0"/>
        <w:autoSpaceDN w:val="0"/>
        <w:adjustRightInd w:val="0"/>
        <w:rPr>
          <w:rFonts w:cstheme="minorHAnsi"/>
          <w:color w:val="000000"/>
        </w:rPr>
      </w:pPr>
      <w:r w:rsidRPr="00EC291D">
        <w:rPr>
          <w:rFonts w:cstheme="minorHAnsi"/>
          <w:b/>
          <w:bCs/>
          <w:color w:val="000000"/>
          <w:u w:val="single"/>
        </w:rPr>
        <w:t>Limitations:</w:t>
      </w:r>
      <w:r w:rsidRPr="00EC291D">
        <w:rPr>
          <w:rFonts w:cstheme="minorHAnsi"/>
          <w:color w:val="000000"/>
        </w:rPr>
        <w:t xml:space="preserve"> </w:t>
      </w:r>
    </w:p>
    <w:p w14:paraId="449B6013" w14:textId="59759BF1" w:rsidR="00506E16" w:rsidRPr="00EC291D" w:rsidRDefault="00506E16" w:rsidP="00506E16">
      <w:pPr>
        <w:autoSpaceDE w:val="0"/>
        <w:autoSpaceDN w:val="0"/>
        <w:adjustRightInd w:val="0"/>
        <w:rPr>
          <w:rFonts w:cstheme="minorHAnsi"/>
          <w:color w:val="000000"/>
        </w:rPr>
      </w:pPr>
      <w:r w:rsidRPr="00EC291D">
        <w:rPr>
          <w:rFonts w:cstheme="minorHAnsi"/>
          <w:color w:val="000000"/>
        </w:rPr>
        <w:t>As mentioned in the article being as single center study, may have led to inclusion bias and limited numbers.</w:t>
      </w:r>
      <w:r w:rsidR="00C352AD">
        <w:rPr>
          <w:rFonts w:cstheme="minorHAnsi"/>
          <w:color w:val="000000"/>
        </w:rPr>
        <w:t xml:space="preserve">  </w:t>
      </w:r>
      <w:r w:rsidRPr="00EC291D">
        <w:rPr>
          <w:rFonts w:cstheme="minorHAnsi"/>
          <w:color w:val="000000"/>
        </w:rPr>
        <w:t>Moreover, comparing echocardiography myocardial deformation mentioned in the current study would be better compared with well-studied parameters from MRI as ventricular volumes and functions particularly for RV.</w:t>
      </w:r>
    </w:p>
    <w:p w14:paraId="17C197FD" w14:textId="77777777" w:rsidR="00506E16" w:rsidRPr="00EC291D" w:rsidRDefault="00506E16" w:rsidP="00506E16">
      <w:pPr>
        <w:autoSpaceDE w:val="0"/>
        <w:autoSpaceDN w:val="0"/>
        <w:adjustRightInd w:val="0"/>
        <w:ind w:firstLine="360"/>
        <w:rPr>
          <w:rFonts w:cstheme="minorHAnsi"/>
          <w:color w:val="000000"/>
        </w:rPr>
      </w:pPr>
    </w:p>
    <w:p w14:paraId="3F29FE66" w14:textId="14C59BBA" w:rsidR="001B2259" w:rsidRDefault="00506E16" w:rsidP="004D0D77">
      <w:pPr>
        <w:autoSpaceDE w:val="0"/>
        <w:autoSpaceDN w:val="0"/>
        <w:adjustRightInd w:val="0"/>
      </w:pPr>
      <w:r w:rsidRPr="00EC291D">
        <w:rPr>
          <w:rFonts w:cstheme="minorHAnsi"/>
          <w:color w:val="000000"/>
        </w:rPr>
        <w:t>Also, though patients claim to be “asymptomatic” , many may lead a sedentary lifestyle - exercise capacity measured by exercise test parameters such  as METS and VO2 max would therefore be of greater help to correlate with myocardial deformation.</w:t>
      </w:r>
      <w:bookmarkStart w:id="0" w:name="_GoBack"/>
      <w:bookmarkEnd w:id="0"/>
    </w:p>
    <w:sectPr w:rsidR="001B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15D73"/>
    <w:multiLevelType w:val="hybridMultilevel"/>
    <w:tmpl w:val="B8C047AA"/>
    <w:lvl w:ilvl="0" w:tplc="A75C23E6">
      <w:start w:val="1"/>
      <w:numFmt w:val="bullet"/>
      <w:lvlText w:val="•"/>
      <w:lvlJc w:val="left"/>
      <w:pPr>
        <w:tabs>
          <w:tab w:val="num" w:pos="720"/>
        </w:tabs>
        <w:ind w:left="720" w:hanging="360"/>
      </w:pPr>
      <w:rPr>
        <w:rFonts w:ascii="Arial" w:hAnsi="Arial" w:hint="default"/>
      </w:rPr>
    </w:lvl>
    <w:lvl w:ilvl="1" w:tplc="A6DE107E" w:tentative="1">
      <w:start w:val="1"/>
      <w:numFmt w:val="bullet"/>
      <w:lvlText w:val="•"/>
      <w:lvlJc w:val="left"/>
      <w:pPr>
        <w:tabs>
          <w:tab w:val="num" w:pos="1440"/>
        </w:tabs>
        <w:ind w:left="1440" w:hanging="360"/>
      </w:pPr>
      <w:rPr>
        <w:rFonts w:ascii="Arial" w:hAnsi="Arial" w:hint="default"/>
      </w:rPr>
    </w:lvl>
    <w:lvl w:ilvl="2" w:tplc="F6581840" w:tentative="1">
      <w:start w:val="1"/>
      <w:numFmt w:val="bullet"/>
      <w:lvlText w:val="•"/>
      <w:lvlJc w:val="left"/>
      <w:pPr>
        <w:tabs>
          <w:tab w:val="num" w:pos="2160"/>
        </w:tabs>
        <w:ind w:left="2160" w:hanging="360"/>
      </w:pPr>
      <w:rPr>
        <w:rFonts w:ascii="Arial" w:hAnsi="Arial" w:hint="default"/>
      </w:rPr>
    </w:lvl>
    <w:lvl w:ilvl="3" w:tplc="CC5EF19E" w:tentative="1">
      <w:start w:val="1"/>
      <w:numFmt w:val="bullet"/>
      <w:lvlText w:val="•"/>
      <w:lvlJc w:val="left"/>
      <w:pPr>
        <w:tabs>
          <w:tab w:val="num" w:pos="2880"/>
        </w:tabs>
        <w:ind w:left="2880" w:hanging="360"/>
      </w:pPr>
      <w:rPr>
        <w:rFonts w:ascii="Arial" w:hAnsi="Arial" w:hint="default"/>
      </w:rPr>
    </w:lvl>
    <w:lvl w:ilvl="4" w:tplc="F4D8B22A" w:tentative="1">
      <w:start w:val="1"/>
      <w:numFmt w:val="bullet"/>
      <w:lvlText w:val="•"/>
      <w:lvlJc w:val="left"/>
      <w:pPr>
        <w:tabs>
          <w:tab w:val="num" w:pos="3600"/>
        </w:tabs>
        <w:ind w:left="3600" w:hanging="360"/>
      </w:pPr>
      <w:rPr>
        <w:rFonts w:ascii="Arial" w:hAnsi="Arial" w:hint="default"/>
      </w:rPr>
    </w:lvl>
    <w:lvl w:ilvl="5" w:tplc="66368D70" w:tentative="1">
      <w:start w:val="1"/>
      <w:numFmt w:val="bullet"/>
      <w:lvlText w:val="•"/>
      <w:lvlJc w:val="left"/>
      <w:pPr>
        <w:tabs>
          <w:tab w:val="num" w:pos="4320"/>
        </w:tabs>
        <w:ind w:left="4320" w:hanging="360"/>
      </w:pPr>
      <w:rPr>
        <w:rFonts w:ascii="Arial" w:hAnsi="Arial" w:hint="default"/>
      </w:rPr>
    </w:lvl>
    <w:lvl w:ilvl="6" w:tplc="76D2CC80" w:tentative="1">
      <w:start w:val="1"/>
      <w:numFmt w:val="bullet"/>
      <w:lvlText w:val="•"/>
      <w:lvlJc w:val="left"/>
      <w:pPr>
        <w:tabs>
          <w:tab w:val="num" w:pos="5040"/>
        </w:tabs>
        <w:ind w:left="5040" w:hanging="360"/>
      </w:pPr>
      <w:rPr>
        <w:rFonts w:ascii="Arial" w:hAnsi="Arial" w:hint="default"/>
      </w:rPr>
    </w:lvl>
    <w:lvl w:ilvl="7" w:tplc="C1126710" w:tentative="1">
      <w:start w:val="1"/>
      <w:numFmt w:val="bullet"/>
      <w:lvlText w:val="•"/>
      <w:lvlJc w:val="left"/>
      <w:pPr>
        <w:tabs>
          <w:tab w:val="num" w:pos="5760"/>
        </w:tabs>
        <w:ind w:left="5760" w:hanging="360"/>
      </w:pPr>
      <w:rPr>
        <w:rFonts w:ascii="Arial" w:hAnsi="Arial" w:hint="default"/>
      </w:rPr>
    </w:lvl>
    <w:lvl w:ilvl="8" w:tplc="676AB5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BF110C0"/>
    <w:multiLevelType w:val="hybridMultilevel"/>
    <w:tmpl w:val="82A45CCC"/>
    <w:lvl w:ilvl="0" w:tplc="04090005">
      <w:start w:val="1"/>
      <w:numFmt w:val="bullet"/>
      <w:lvlText w:val=""/>
      <w:lvlJc w:val="left"/>
      <w:pPr>
        <w:tabs>
          <w:tab w:val="num" w:pos="720"/>
        </w:tabs>
        <w:ind w:left="720" w:hanging="360"/>
      </w:pPr>
      <w:rPr>
        <w:rFonts w:ascii="Wingdings" w:hAnsi="Wingdings" w:hint="default"/>
      </w:rPr>
    </w:lvl>
    <w:lvl w:ilvl="1" w:tplc="3E1871E2" w:tentative="1">
      <w:start w:val="1"/>
      <w:numFmt w:val="bullet"/>
      <w:lvlText w:val="•"/>
      <w:lvlJc w:val="left"/>
      <w:pPr>
        <w:tabs>
          <w:tab w:val="num" w:pos="1440"/>
        </w:tabs>
        <w:ind w:left="1440" w:hanging="360"/>
      </w:pPr>
      <w:rPr>
        <w:rFonts w:ascii="Arial" w:hAnsi="Arial" w:hint="default"/>
      </w:rPr>
    </w:lvl>
    <w:lvl w:ilvl="2" w:tplc="84B6BA60" w:tentative="1">
      <w:start w:val="1"/>
      <w:numFmt w:val="bullet"/>
      <w:lvlText w:val="•"/>
      <w:lvlJc w:val="left"/>
      <w:pPr>
        <w:tabs>
          <w:tab w:val="num" w:pos="2160"/>
        </w:tabs>
        <w:ind w:left="2160" w:hanging="360"/>
      </w:pPr>
      <w:rPr>
        <w:rFonts w:ascii="Arial" w:hAnsi="Arial" w:hint="default"/>
      </w:rPr>
    </w:lvl>
    <w:lvl w:ilvl="3" w:tplc="81A2B178" w:tentative="1">
      <w:start w:val="1"/>
      <w:numFmt w:val="bullet"/>
      <w:lvlText w:val="•"/>
      <w:lvlJc w:val="left"/>
      <w:pPr>
        <w:tabs>
          <w:tab w:val="num" w:pos="2880"/>
        </w:tabs>
        <w:ind w:left="2880" w:hanging="360"/>
      </w:pPr>
      <w:rPr>
        <w:rFonts w:ascii="Arial" w:hAnsi="Arial" w:hint="default"/>
      </w:rPr>
    </w:lvl>
    <w:lvl w:ilvl="4" w:tplc="FD94C28A" w:tentative="1">
      <w:start w:val="1"/>
      <w:numFmt w:val="bullet"/>
      <w:lvlText w:val="•"/>
      <w:lvlJc w:val="left"/>
      <w:pPr>
        <w:tabs>
          <w:tab w:val="num" w:pos="3600"/>
        </w:tabs>
        <w:ind w:left="3600" w:hanging="360"/>
      </w:pPr>
      <w:rPr>
        <w:rFonts w:ascii="Arial" w:hAnsi="Arial" w:hint="default"/>
      </w:rPr>
    </w:lvl>
    <w:lvl w:ilvl="5" w:tplc="D71E22AC" w:tentative="1">
      <w:start w:val="1"/>
      <w:numFmt w:val="bullet"/>
      <w:lvlText w:val="•"/>
      <w:lvlJc w:val="left"/>
      <w:pPr>
        <w:tabs>
          <w:tab w:val="num" w:pos="4320"/>
        </w:tabs>
        <w:ind w:left="4320" w:hanging="360"/>
      </w:pPr>
      <w:rPr>
        <w:rFonts w:ascii="Arial" w:hAnsi="Arial" w:hint="default"/>
      </w:rPr>
    </w:lvl>
    <w:lvl w:ilvl="6" w:tplc="77626ED0" w:tentative="1">
      <w:start w:val="1"/>
      <w:numFmt w:val="bullet"/>
      <w:lvlText w:val="•"/>
      <w:lvlJc w:val="left"/>
      <w:pPr>
        <w:tabs>
          <w:tab w:val="num" w:pos="5040"/>
        </w:tabs>
        <w:ind w:left="5040" w:hanging="360"/>
      </w:pPr>
      <w:rPr>
        <w:rFonts w:ascii="Arial" w:hAnsi="Arial" w:hint="default"/>
      </w:rPr>
    </w:lvl>
    <w:lvl w:ilvl="7" w:tplc="87CADF02" w:tentative="1">
      <w:start w:val="1"/>
      <w:numFmt w:val="bullet"/>
      <w:lvlText w:val="•"/>
      <w:lvlJc w:val="left"/>
      <w:pPr>
        <w:tabs>
          <w:tab w:val="num" w:pos="5760"/>
        </w:tabs>
        <w:ind w:left="5760" w:hanging="360"/>
      </w:pPr>
      <w:rPr>
        <w:rFonts w:ascii="Arial" w:hAnsi="Arial" w:hint="default"/>
      </w:rPr>
    </w:lvl>
    <w:lvl w:ilvl="8" w:tplc="0B562A1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6DE1903"/>
    <w:multiLevelType w:val="hybridMultilevel"/>
    <w:tmpl w:val="7F9CE8BA"/>
    <w:lvl w:ilvl="0" w:tplc="CD2000E2">
      <w:start w:val="1"/>
      <w:numFmt w:val="bullet"/>
      <w:lvlText w:val="•"/>
      <w:lvlJc w:val="left"/>
      <w:pPr>
        <w:tabs>
          <w:tab w:val="num" w:pos="720"/>
        </w:tabs>
        <w:ind w:left="720" w:hanging="360"/>
      </w:pPr>
      <w:rPr>
        <w:rFonts w:ascii="Arial" w:hAnsi="Arial" w:hint="default"/>
      </w:rPr>
    </w:lvl>
    <w:lvl w:ilvl="1" w:tplc="3E1871E2">
      <w:start w:val="1"/>
      <w:numFmt w:val="bullet"/>
      <w:lvlText w:val="•"/>
      <w:lvlJc w:val="left"/>
      <w:pPr>
        <w:tabs>
          <w:tab w:val="num" w:pos="1440"/>
        </w:tabs>
        <w:ind w:left="1440" w:hanging="360"/>
      </w:pPr>
      <w:rPr>
        <w:rFonts w:ascii="Arial" w:hAnsi="Arial" w:hint="default"/>
      </w:rPr>
    </w:lvl>
    <w:lvl w:ilvl="2" w:tplc="84B6BA60" w:tentative="1">
      <w:start w:val="1"/>
      <w:numFmt w:val="bullet"/>
      <w:lvlText w:val="•"/>
      <w:lvlJc w:val="left"/>
      <w:pPr>
        <w:tabs>
          <w:tab w:val="num" w:pos="2160"/>
        </w:tabs>
        <w:ind w:left="2160" w:hanging="360"/>
      </w:pPr>
      <w:rPr>
        <w:rFonts w:ascii="Arial" w:hAnsi="Arial" w:hint="default"/>
      </w:rPr>
    </w:lvl>
    <w:lvl w:ilvl="3" w:tplc="81A2B178" w:tentative="1">
      <w:start w:val="1"/>
      <w:numFmt w:val="bullet"/>
      <w:lvlText w:val="•"/>
      <w:lvlJc w:val="left"/>
      <w:pPr>
        <w:tabs>
          <w:tab w:val="num" w:pos="2880"/>
        </w:tabs>
        <w:ind w:left="2880" w:hanging="360"/>
      </w:pPr>
      <w:rPr>
        <w:rFonts w:ascii="Arial" w:hAnsi="Arial" w:hint="default"/>
      </w:rPr>
    </w:lvl>
    <w:lvl w:ilvl="4" w:tplc="FD94C28A" w:tentative="1">
      <w:start w:val="1"/>
      <w:numFmt w:val="bullet"/>
      <w:lvlText w:val="•"/>
      <w:lvlJc w:val="left"/>
      <w:pPr>
        <w:tabs>
          <w:tab w:val="num" w:pos="3600"/>
        </w:tabs>
        <w:ind w:left="3600" w:hanging="360"/>
      </w:pPr>
      <w:rPr>
        <w:rFonts w:ascii="Arial" w:hAnsi="Arial" w:hint="default"/>
      </w:rPr>
    </w:lvl>
    <w:lvl w:ilvl="5" w:tplc="D71E22AC" w:tentative="1">
      <w:start w:val="1"/>
      <w:numFmt w:val="bullet"/>
      <w:lvlText w:val="•"/>
      <w:lvlJc w:val="left"/>
      <w:pPr>
        <w:tabs>
          <w:tab w:val="num" w:pos="4320"/>
        </w:tabs>
        <w:ind w:left="4320" w:hanging="360"/>
      </w:pPr>
      <w:rPr>
        <w:rFonts w:ascii="Arial" w:hAnsi="Arial" w:hint="default"/>
      </w:rPr>
    </w:lvl>
    <w:lvl w:ilvl="6" w:tplc="77626ED0" w:tentative="1">
      <w:start w:val="1"/>
      <w:numFmt w:val="bullet"/>
      <w:lvlText w:val="•"/>
      <w:lvlJc w:val="left"/>
      <w:pPr>
        <w:tabs>
          <w:tab w:val="num" w:pos="5040"/>
        </w:tabs>
        <w:ind w:left="5040" w:hanging="360"/>
      </w:pPr>
      <w:rPr>
        <w:rFonts w:ascii="Arial" w:hAnsi="Arial" w:hint="default"/>
      </w:rPr>
    </w:lvl>
    <w:lvl w:ilvl="7" w:tplc="87CADF02" w:tentative="1">
      <w:start w:val="1"/>
      <w:numFmt w:val="bullet"/>
      <w:lvlText w:val="•"/>
      <w:lvlJc w:val="left"/>
      <w:pPr>
        <w:tabs>
          <w:tab w:val="num" w:pos="5760"/>
        </w:tabs>
        <w:ind w:left="5760" w:hanging="360"/>
      </w:pPr>
      <w:rPr>
        <w:rFonts w:ascii="Arial" w:hAnsi="Arial" w:hint="default"/>
      </w:rPr>
    </w:lvl>
    <w:lvl w:ilvl="8" w:tplc="0B562A1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2B97645"/>
    <w:multiLevelType w:val="hybridMultilevel"/>
    <w:tmpl w:val="03F2BCFC"/>
    <w:lvl w:ilvl="0" w:tplc="B864744C">
      <w:start w:val="1"/>
      <w:numFmt w:val="bullet"/>
      <w:lvlText w:val="•"/>
      <w:lvlJc w:val="left"/>
      <w:pPr>
        <w:tabs>
          <w:tab w:val="num" w:pos="720"/>
        </w:tabs>
        <w:ind w:left="720" w:hanging="360"/>
      </w:pPr>
      <w:rPr>
        <w:rFonts w:ascii="Arial" w:hAnsi="Arial" w:hint="default"/>
      </w:rPr>
    </w:lvl>
    <w:lvl w:ilvl="1" w:tplc="E44A8CF4" w:tentative="1">
      <w:start w:val="1"/>
      <w:numFmt w:val="bullet"/>
      <w:lvlText w:val="•"/>
      <w:lvlJc w:val="left"/>
      <w:pPr>
        <w:tabs>
          <w:tab w:val="num" w:pos="1440"/>
        </w:tabs>
        <w:ind w:left="1440" w:hanging="360"/>
      </w:pPr>
      <w:rPr>
        <w:rFonts w:ascii="Arial" w:hAnsi="Arial" w:hint="default"/>
      </w:rPr>
    </w:lvl>
    <w:lvl w:ilvl="2" w:tplc="ED16EC6A" w:tentative="1">
      <w:start w:val="1"/>
      <w:numFmt w:val="bullet"/>
      <w:lvlText w:val="•"/>
      <w:lvlJc w:val="left"/>
      <w:pPr>
        <w:tabs>
          <w:tab w:val="num" w:pos="2160"/>
        </w:tabs>
        <w:ind w:left="2160" w:hanging="360"/>
      </w:pPr>
      <w:rPr>
        <w:rFonts w:ascii="Arial" w:hAnsi="Arial" w:hint="default"/>
      </w:rPr>
    </w:lvl>
    <w:lvl w:ilvl="3" w:tplc="57F259F6" w:tentative="1">
      <w:start w:val="1"/>
      <w:numFmt w:val="bullet"/>
      <w:lvlText w:val="•"/>
      <w:lvlJc w:val="left"/>
      <w:pPr>
        <w:tabs>
          <w:tab w:val="num" w:pos="2880"/>
        </w:tabs>
        <w:ind w:left="2880" w:hanging="360"/>
      </w:pPr>
      <w:rPr>
        <w:rFonts w:ascii="Arial" w:hAnsi="Arial" w:hint="default"/>
      </w:rPr>
    </w:lvl>
    <w:lvl w:ilvl="4" w:tplc="83B2A726" w:tentative="1">
      <w:start w:val="1"/>
      <w:numFmt w:val="bullet"/>
      <w:lvlText w:val="•"/>
      <w:lvlJc w:val="left"/>
      <w:pPr>
        <w:tabs>
          <w:tab w:val="num" w:pos="3600"/>
        </w:tabs>
        <w:ind w:left="3600" w:hanging="360"/>
      </w:pPr>
      <w:rPr>
        <w:rFonts w:ascii="Arial" w:hAnsi="Arial" w:hint="default"/>
      </w:rPr>
    </w:lvl>
    <w:lvl w:ilvl="5" w:tplc="0F6E5EF8" w:tentative="1">
      <w:start w:val="1"/>
      <w:numFmt w:val="bullet"/>
      <w:lvlText w:val="•"/>
      <w:lvlJc w:val="left"/>
      <w:pPr>
        <w:tabs>
          <w:tab w:val="num" w:pos="4320"/>
        </w:tabs>
        <w:ind w:left="4320" w:hanging="360"/>
      </w:pPr>
      <w:rPr>
        <w:rFonts w:ascii="Arial" w:hAnsi="Arial" w:hint="default"/>
      </w:rPr>
    </w:lvl>
    <w:lvl w:ilvl="6" w:tplc="B010062C" w:tentative="1">
      <w:start w:val="1"/>
      <w:numFmt w:val="bullet"/>
      <w:lvlText w:val="•"/>
      <w:lvlJc w:val="left"/>
      <w:pPr>
        <w:tabs>
          <w:tab w:val="num" w:pos="5040"/>
        </w:tabs>
        <w:ind w:left="5040" w:hanging="360"/>
      </w:pPr>
      <w:rPr>
        <w:rFonts w:ascii="Arial" w:hAnsi="Arial" w:hint="default"/>
      </w:rPr>
    </w:lvl>
    <w:lvl w:ilvl="7" w:tplc="3F7E3416" w:tentative="1">
      <w:start w:val="1"/>
      <w:numFmt w:val="bullet"/>
      <w:lvlText w:val="•"/>
      <w:lvlJc w:val="left"/>
      <w:pPr>
        <w:tabs>
          <w:tab w:val="num" w:pos="5760"/>
        </w:tabs>
        <w:ind w:left="5760" w:hanging="360"/>
      </w:pPr>
      <w:rPr>
        <w:rFonts w:ascii="Arial" w:hAnsi="Arial" w:hint="default"/>
      </w:rPr>
    </w:lvl>
    <w:lvl w:ilvl="8" w:tplc="A47A78E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E16"/>
    <w:rsid w:val="001B2259"/>
    <w:rsid w:val="004D0D77"/>
    <w:rsid w:val="00506E16"/>
    <w:rsid w:val="005C205F"/>
    <w:rsid w:val="00C352AD"/>
    <w:rsid w:val="00C91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60B84"/>
  <w15:chartTrackingRefBased/>
  <w15:docId w15:val="{78A2C9D3-899E-4B2C-A2D1-8C37FBC08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E16"/>
  </w:style>
  <w:style w:type="paragraph" w:styleId="Heading1">
    <w:name w:val="heading 1"/>
    <w:basedOn w:val="Normal"/>
    <w:next w:val="Normal"/>
    <w:link w:val="Heading1Char"/>
    <w:uiPriority w:val="9"/>
    <w:qFormat/>
    <w:rsid w:val="00506E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E16"/>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506E16"/>
    <w:rPr>
      <w:b/>
      <w:bCs/>
    </w:rPr>
  </w:style>
  <w:style w:type="paragraph" w:styleId="ListParagraph">
    <w:name w:val="List Paragraph"/>
    <w:basedOn w:val="Normal"/>
    <w:uiPriority w:val="34"/>
    <w:qFormat/>
    <w:rsid w:val="00506E16"/>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506E16"/>
    <w:rPr>
      <w:color w:val="0563C1" w:themeColor="hyperlink"/>
      <w:u w:val="single"/>
    </w:rPr>
  </w:style>
  <w:style w:type="paragraph" w:customStyle="1" w:styleId="desc">
    <w:name w:val="desc"/>
    <w:basedOn w:val="Normal"/>
    <w:rsid w:val="00506E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506E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506E16"/>
  </w:style>
  <w:style w:type="paragraph" w:customStyle="1" w:styleId="links">
    <w:name w:val="links"/>
    <w:basedOn w:val="Normal"/>
    <w:rsid w:val="00506E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ncbi.nlm.nih.gov/pubmed?linkname=pubmed_pubmed&amp;from_uid=3106467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777</Words>
  <Characters>4429</Characters>
  <Application>Microsoft Office Word</Application>
  <DocSecurity>0</DocSecurity>
  <Lines>36</Lines>
  <Paragraphs>10</Paragraphs>
  <ScaleCrop>false</ScaleCrop>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4</cp:revision>
  <dcterms:created xsi:type="dcterms:W3CDTF">2020-03-28T15:25:00Z</dcterms:created>
  <dcterms:modified xsi:type="dcterms:W3CDTF">2020-03-28T19:57:00Z</dcterms:modified>
</cp:coreProperties>
</file>